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2973A5" w:rsidRPr="0037139A" w:rsidP="002973A5" w14:paraId="5B540F0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139A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:rsidR="002973A5" w:rsidP="002973A5" w14:paraId="42D0718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139A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2973A5" w:rsidRPr="0037139A" w:rsidP="002973A5" w14:paraId="51A1266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3A5" w:rsidRPr="0037139A" w:rsidP="002973A5" w14:paraId="2E4B4B1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37139A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7139A">
        <w:rPr>
          <w:rFonts w:ascii="Arial" w:hAnsi="Arial" w:cs="Arial"/>
          <w:b/>
          <w:bCs/>
          <w:sz w:val="24"/>
          <w:szCs w:val="24"/>
        </w:rPr>
        <w:t>:</w:t>
      </w:r>
      <w:r w:rsidRPr="0037139A">
        <w:rPr>
          <w:rFonts w:ascii="Arial" w:hAnsi="Arial" w:cs="Arial"/>
          <w:sz w:val="24"/>
          <w:szCs w:val="24"/>
        </w:rPr>
        <w:t xml:space="preserve"> Projeto de Lei</w:t>
      </w:r>
      <w:r w:rsidRPr="0037139A">
        <w:rPr>
          <w:rFonts w:ascii="Arial" w:hAnsi="Arial" w:cs="Arial"/>
          <w:bCs/>
          <w:sz w:val="24"/>
          <w:szCs w:val="24"/>
        </w:rPr>
        <w:t xml:space="preserve"> Complementar nº. 05/2021</w:t>
      </w:r>
    </w:p>
    <w:p w:rsidR="002973A5" w:rsidRPr="0037139A" w:rsidP="002973A5" w14:paraId="198D3728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39A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7139A">
        <w:rPr>
          <w:rFonts w:ascii="Arial" w:hAnsi="Arial" w:cs="Arial"/>
          <w:b/>
          <w:bCs/>
          <w:sz w:val="24"/>
          <w:szCs w:val="24"/>
        </w:rPr>
        <w:t>:</w:t>
      </w:r>
      <w:r w:rsidRPr="0037139A">
        <w:rPr>
          <w:rFonts w:ascii="Arial" w:hAnsi="Arial" w:cs="Arial"/>
          <w:b/>
          <w:bCs/>
          <w:sz w:val="24"/>
          <w:szCs w:val="24"/>
        </w:rPr>
        <w:tab/>
      </w:r>
      <w:r w:rsidRPr="0037139A">
        <w:rPr>
          <w:rFonts w:ascii="Arial" w:hAnsi="Arial" w:cs="Arial"/>
          <w:bCs/>
          <w:sz w:val="24"/>
          <w:szCs w:val="24"/>
        </w:rPr>
        <w:t>Dispõe sobre a isenção do Imposto sobre transmissão de bens imóveis por ato oneroso “</w:t>
      </w:r>
      <w:r w:rsidRPr="0037139A">
        <w:rPr>
          <w:rFonts w:ascii="Arial" w:hAnsi="Arial" w:cs="Arial"/>
          <w:bCs/>
          <w:sz w:val="24"/>
          <w:szCs w:val="24"/>
        </w:rPr>
        <w:t>inter</w:t>
      </w:r>
      <w:r w:rsidRPr="0037139A">
        <w:rPr>
          <w:rFonts w:ascii="Arial" w:hAnsi="Arial" w:cs="Arial"/>
          <w:bCs/>
          <w:sz w:val="24"/>
          <w:szCs w:val="24"/>
        </w:rPr>
        <w:t xml:space="preserve"> vivos” (ITBI), Imposto sobre a prestação de serviços de qualquer natureza (ISSQN) e Imposto Predial e Territorial Urbano (IPTU), nos casos que especifica – CASA VERDE E AMARELA, e dá outras providências.</w:t>
      </w:r>
    </w:p>
    <w:p w:rsidR="002973A5" w:rsidRPr="0037139A" w:rsidP="002973A5" w14:paraId="5989C608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7139A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7139A">
        <w:rPr>
          <w:rFonts w:ascii="Arial" w:hAnsi="Arial" w:cs="Arial"/>
          <w:b/>
          <w:bCs/>
          <w:sz w:val="24"/>
          <w:szCs w:val="24"/>
        </w:rPr>
        <w:t>:</w:t>
      </w:r>
      <w:r w:rsidRPr="0037139A">
        <w:rPr>
          <w:rFonts w:ascii="Arial" w:hAnsi="Arial" w:cs="Arial"/>
          <w:sz w:val="24"/>
          <w:szCs w:val="24"/>
        </w:rPr>
        <w:t xml:space="preserve"> Prefeito Municipal</w:t>
      </w:r>
    </w:p>
    <w:p w:rsidR="002973A5" w:rsidRPr="0037139A" w:rsidP="002973A5" w14:paraId="157F0C35" w14:textId="77777777">
      <w:pPr>
        <w:jc w:val="both"/>
        <w:rPr>
          <w:rFonts w:ascii="Arial" w:hAnsi="Arial" w:cs="Arial"/>
          <w:sz w:val="24"/>
          <w:szCs w:val="24"/>
        </w:rPr>
      </w:pPr>
    </w:p>
    <w:p w:rsidR="002973A5" w:rsidP="002973A5" w14:paraId="460404ED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37139A">
        <w:rPr>
          <w:rFonts w:ascii="Arial" w:hAnsi="Arial" w:cs="Arial"/>
          <w:sz w:val="24"/>
          <w:szCs w:val="24"/>
        </w:rPr>
        <w:tab/>
      </w:r>
      <w:r w:rsidRPr="0037139A">
        <w:rPr>
          <w:rFonts w:ascii="Arial" w:hAnsi="Arial" w:cs="Arial"/>
          <w:sz w:val="24"/>
          <w:szCs w:val="24"/>
        </w:rPr>
        <w:tab/>
        <w:t>O presente Projeto de Lei Dispõe sobre a isenção do Imposto sobre transmissão de bens imóveis por ato oneroso “</w:t>
      </w:r>
      <w:r w:rsidRPr="0037139A">
        <w:rPr>
          <w:rFonts w:ascii="Arial" w:hAnsi="Arial" w:cs="Arial"/>
          <w:sz w:val="24"/>
          <w:szCs w:val="24"/>
        </w:rPr>
        <w:t>inter</w:t>
      </w:r>
      <w:r w:rsidRPr="0037139A">
        <w:rPr>
          <w:rFonts w:ascii="Arial" w:hAnsi="Arial" w:cs="Arial"/>
          <w:sz w:val="24"/>
          <w:szCs w:val="24"/>
        </w:rPr>
        <w:t xml:space="preserve"> vivos” (ITBI), Imposto sobre a prestação de serviços de qualquer natureza (ISSQN) e Imposto Predial e Territorial Urbano (IPTU), nos casos que especifica – CASA VERDE E AMARELA, e dá outras providências.</w:t>
      </w:r>
    </w:p>
    <w:p w:rsidR="002973A5" w:rsidRPr="0037139A" w:rsidP="002973A5" w14:paraId="233DD05E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973A5" w:rsidP="002973A5" w14:paraId="156F5894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37139A">
        <w:rPr>
          <w:rFonts w:ascii="Arial" w:hAnsi="Arial" w:cs="Arial"/>
        </w:rPr>
        <w:t xml:space="preserve">Consta da justificativa que com a entrada em vigor </w:t>
      </w:r>
      <w:bookmarkStart w:id="0" w:name="_Hlk79652664"/>
      <w:r w:rsidRPr="0037139A">
        <w:rPr>
          <w:rFonts w:ascii="Arial" w:hAnsi="Arial" w:cs="Arial"/>
        </w:rPr>
        <w:t>da Lei Federal nº. 14.118, de 12 de janeiro de 2.021</w:t>
      </w:r>
      <w:bookmarkEnd w:id="0"/>
      <w:r w:rsidRPr="0037139A">
        <w:rPr>
          <w:rFonts w:ascii="Arial" w:hAnsi="Arial" w:cs="Arial"/>
        </w:rPr>
        <w:t xml:space="preserve"> que instituiu o Programa Casa Verde Amarela, houve a necessidade de encaminhamento do presente projeto de lei a essa Casa Legislativa. O art. 5º de referida lei estabelece as competências dos agentes públicos e privados, cabendo aos Municípios, conforme disposto no inciso V de referido artigo “implementar e executar as suas políticas habitacionais em articulação com o Programa Casa Verde e Amarela garantir as condições adequadas para a sua realização e a sua execução, na qualidade de executores, de promotores ou de apoiadores. ”</w:t>
      </w:r>
    </w:p>
    <w:p w:rsidR="002973A5" w:rsidRPr="0037139A" w:rsidP="002973A5" w14:paraId="6BA5E29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973A5" w:rsidP="002973A5" w14:paraId="55F34107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37139A">
        <w:rPr>
          <w:rFonts w:ascii="Arial" w:hAnsi="Arial" w:cs="Arial"/>
        </w:rPr>
        <w:t>A justificativa ainda ressalta que o § 5° do art. 6°, condiciona a participação dos Municípios no referido Programa “à existência de lei do ente federativo, no âmbito de sua competência, que assegure a isenção dos tributos que tenham como fato gerador a transferência das moradias ofertadas pelo Programa Casa Verde e Amarela com a participação de, no mínimo, uma das fontes descritas nos incisos III e IV do caput deste artigo, a qual deverá produzir efeitos em momento prévio à contratação dos investimentos. É importante consignarmos que a Lei Complementar Municipal n° 631/2009, é específica para o Programa Minha Casa, Minha Vida, não podendo ser aplicada ao Programa Casa Verde Amarela.</w:t>
      </w:r>
    </w:p>
    <w:p w:rsidR="002973A5" w:rsidRPr="0037139A" w:rsidP="002973A5" w14:paraId="701298F5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973A5" w:rsidP="002973A5" w14:paraId="1482F308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37139A">
        <w:rPr>
          <w:rFonts w:ascii="Arial" w:hAnsi="Arial" w:cs="Arial"/>
        </w:rPr>
        <w:t>O Poder Executivo ainda coloca que uma das condicionantes à participação do novo Programa instituído pela Lei Federal 14.118, de 12 de janeiro de 2021, seja a concessão de referida isenção, é de suma importância a análise e aprovação de referido Projeto de Lei Complementar para que possamos possibilitar a continuidade dos investimentos habitacionais em nossa cidade.</w:t>
      </w:r>
    </w:p>
    <w:p w:rsidR="002973A5" w:rsidRPr="0037139A" w:rsidP="002973A5" w14:paraId="7EB22F7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973A5" w:rsidP="002973A5" w14:paraId="043FD44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973A5" w:rsidP="002973A5" w14:paraId="1FBFA71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973A5" w:rsidP="002973A5" w14:paraId="7F89C9E0" w14:textId="167A34D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37139A">
        <w:rPr>
          <w:rFonts w:ascii="Arial" w:hAnsi="Arial" w:cs="Arial"/>
        </w:rPr>
        <w:t>Em que pese a lei federal</w:t>
      </w:r>
      <w:r w:rsidRPr="0037139A">
        <w:t xml:space="preserve"> </w:t>
      </w:r>
      <w:r w:rsidRPr="0037139A">
        <w:rPr>
          <w:rFonts w:ascii="Arial" w:hAnsi="Arial" w:cs="Arial"/>
        </w:rPr>
        <w:t xml:space="preserve">da Lei Federal nº. 14.118, de 12 de janeiro de </w:t>
      </w:r>
      <w:r w:rsidRPr="0037139A">
        <w:rPr>
          <w:rFonts w:ascii="Arial" w:hAnsi="Arial" w:cs="Arial"/>
        </w:rPr>
        <w:t>2.021,condicionar</w:t>
      </w:r>
      <w:r w:rsidRPr="0037139A">
        <w:rPr>
          <w:rFonts w:ascii="Arial" w:hAnsi="Arial" w:cs="Arial"/>
        </w:rPr>
        <w:t xml:space="preserve"> o acesso ao programa através de uma lei municipal, prevendo a isenção de ITBI, foi acrescentada, neste projeto de lei, a previsão legal de isenção do IPTU e ISSQN e do pagamento das taxas de protocolo e emolumentos referentes aos mesmos.</w:t>
      </w:r>
      <w:bookmarkStart w:id="1" w:name="_GoBack"/>
      <w:bookmarkEnd w:id="1"/>
    </w:p>
    <w:p w:rsidR="002973A5" w:rsidRPr="0037139A" w:rsidP="002973A5" w14:paraId="6412941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973A5" w:rsidRPr="0037139A" w:rsidP="002973A5" w14:paraId="37C8A1D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37139A">
        <w:rPr>
          <w:rFonts w:ascii="Arial" w:hAnsi="Arial" w:cs="Arial"/>
        </w:rPr>
        <w:t>Referido projeto foi analisado pela Procuradoria Legislativa e pela Comissão de Justiça e Redação e sendo assim, cabe-nos, nesta oportunidade, manifestar pelo prosseguimento do projeto, reservando nosso direito de manifestação em Plenário, quando este constar da pauta de discussões.</w:t>
      </w:r>
    </w:p>
    <w:p w:rsidR="002973A5" w:rsidRPr="0037139A" w:rsidP="002973A5" w14:paraId="26F6246E" w14:textId="77777777">
      <w:pPr>
        <w:jc w:val="both"/>
        <w:rPr>
          <w:rFonts w:ascii="Arial" w:hAnsi="Arial" w:cs="Arial"/>
          <w:sz w:val="24"/>
          <w:szCs w:val="24"/>
        </w:rPr>
      </w:pPr>
    </w:p>
    <w:p w:rsidR="002973A5" w:rsidRPr="0037139A" w:rsidP="002973A5" w14:paraId="4BE04995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37139A">
        <w:rPr>
          <w:rFonts w:ascii="Arial" w:hAnsi="Arial" w:cs="Arial"/>
          <w:sz w:val="24"/>
          <w:szCs w:val="24"/>
        </w:rPr>
        <w:t>Plenário “Vereador Laurindo Ezidoro Jaqueta”, 12 de agosto de 2021.</w:t>
      </w:r>
    </w:p>
    <w:p w:rsidR="002973A5" w:rsidRPr="0037139A" w:rsidP="002973A5" w14:paraId="7673A6C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73A5" w:rsidRPr="0037139A" w:rsidP="002973A5" w14:paraId="4DD11AD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73A5" w:rsidRPr="0037139A" w:rsidP="002973A5" w14:paraId="69FFBD7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73A5" w:rsidRPr="0037139A" w:rsidP="002973A5" w14:paraId="13154944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7139A">
        <w:rPr>
          <w:rFonts w:ascii="Arial" w:hAnsi="Arial" w:cs="Arial"/>
          <w:sz w:val="24"/>
          <w:szCs w:val="24"/>
        </w:rPr>
        <w:t xml:space="preserve">Vereador </w:t>
      </w:r>
      <w:r w:rsidRPr="0037139A">
        <w:rPr>
          <w:rFonts w:ascii="Arial" w:hAnsi="Arial" w:cs="Arial"/>
          <w:b/>
          <w:sz w:val="24"/>
          <w:szCs w:val="24"/>
        </w:rPr>
        <w:t>SARGENTO LAUDO</w:t>
      </w:r>
    </w:p>
    <w:p w:rsidR="002973A5" w:rsidRPr="0037139A" w:rsidP="002973A5" w14:paraId="32A87BE9" w14:textId="77777777">
      <w:pPr>
        <w:rPr>
          <w:rFonts w:ascii="Arial" w:hAnsi="Arial" w:cs="Arial"/>
          <w:bCs/>
          <w:sz w:val="24"/>
          <w:szCs w:val="24"/>
        </w:rPr>
      </w:pPr>
      <w:r w:rsidRPr="0037139A">
        <w:rPr>
          <w:rFonts w:ascii="Arial" w:hAnsi="Arial" w:cs="Arial"/>
          <w:b/>
          <w:sz w:val="24"/>
          <w:szCs w:val="24"/>
        </w:rPr>
        <w:tab/>
      </w:r>
      <w:r w:rsidRPr="0037139A">
        <w:rPr>
          <w:rFonts w:ascii="Arial" w:hAnsi="Arial" w:cs="Arial"/>
          <w:b/>
          <w:sz w:val="24"/>
          <w:szCs w:val="24"/>
        </w:rPr>
        <w:tab/>
      </w:r>
      <w:r w:rsidRPr="0037139A">
        <w:rPr>
          <w:rFonts w:ascii="Arial" w:hAnsi="Arial" w:cs="Arial"/>
          <w:b/>
          <w:sz w:val="24"/>
          <w:szCs w:val="24"/>
        </w:rPr>
        <w:tab/>
      </w:r>
      <w:r w:rsidRPr="0037139A">
        <w:rPr>
          <w:rFonts w:ascii="Arial" w:hAnsi="Arial" w:cs="Arial"/>
          <w:b/>
          <w:sz w:val="24"/>
          <w:szCs w:val="24"/>
        </w:rPr>
        <w:tab/>
      </w:r>
      <w:r w:rsidRPr="0037139A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37139A">
        <w:rPr>
          <w:rFonts w:ascii="Arial" w:hAnsi="Arial" w:cs="Arial"/>
          <w:bCs/>
          <w:sz w:val="24"/>
          <w:szCs w:val="24"/>
        </w:rPr>
        <w:t>Presidente</w:t>
      </w:r>
    </w:p>
    <w:p w:rsidR="002973A5" w:rsidRPr="0037139A" w:rsidP="002973A5" w14:paraId="04A67B0E" w14:textId="77777777">
      <w:pPr>
        <w:rPr>
          <w:rFonts w:ascii="Arial" w:hAnsi="Arial" w:cs="Arial"/>
          <w:bCs/>
          <w:sz w:val="24"/>
          <w:szCs w:val="24"/>
        </w:rPr>
      </w:pPr>
    </w:p>
    <w:p w:rsidR="002973A5" w:rsidRPr="0037139A" w:rsidP="002973A5" w14:paraId="01CB80A9" w14:textId="77777777">
      <w:pPr>
        <w:rPr>
          <w:rFonts w:ascii="Arial" w:hAnsi="Arial" w:cs="Arial"/>
          <w:bCs/>
          <w:sz w:val="24"/>
          <w:szCs w:val="24"/>
        </w:rPr>
      </w:pPr>
    </w:p>
    <w:p w:rsidR="002973A5" w:rsidRPr="0037139A" w:rsidP="002973A5" w14:paraId="77138C30" w14:textId="77777777">
      <w:pPr>
        <w:rPr>
          <w:rFonts w:ascii="Arial" w:hAnsi="Arial" w:cs="Arial"/>
          <w:bCs/>
          <w:sz w:val="24"/>
          <w:szCs w:val="24"/>
        </w:rPr>
      </w:pPr>
    </w:p>
    <w:p w:rsidR="002973A5" w:rsidRPr="0037139A" w:rsidP="002973A5" w14:paraId="43F60181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7AF5DB63" w14:textId="77777777" w:rsidTr="008A0399">
        <w:tblPrEx>
          <w:tblW w:w="0" w:type="auto"/>
          <w:tblLook w:val="04A0"/>
        </w:tblPrEx>
        <w:tc>
          <w:tcPr>
            <w:tcW w:w="4558" w:type="dxa"/>
            <w:hideMark/>
          </w:tcPr>
          <w:p w:rsidR="002973A5" w:rsidRPr="0037139A" w:rsidP="008A0399" w14:paraId="4FA48A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39A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37139A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</w:tc>
        <w:tc>
          <w:tcPr>
            <w:tcW w:w="4558" w:type="dxa"/>
            <w:hideMark/>
          </w:tcPr>
          <w:p w:rsidR="002973A5" w:rsidRPr="0037139A" w:rsidP="008A0399" w14:paraId="7656CC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39A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37139A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14:paraId="5DED8A47" w14:textId="77777777" w:rsidTr="008A0399">
        <w:tblPrEx>
          <w:tblW w:w="0" w:type="auto"/>
          <w:tblLook w:val="04A0"/>
        </w:tblPrEx>
        <w:tc>
          <w:tcPr>
            <w:tcW w:w="4558" w:type="dxa"/>
            <w:hideMark/>
          </w:tcPr>
          <w:p w:rsidR="002973A5" w:rsidRPr="0037139A" w:rsidP="008A0399" w14:paraId="44EE522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39A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2973A5" w:rsidRPr="0037139A" w:rsidP="008A0399" w14:paraId="05D1D5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39A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2973A5" w:rsidRPr="0037139A" w:rsidP="002973A5" w14:paraId="7CDEA3D3" w14:textId="77777777">
      <w:pPr>
        <w:rPr>
          <w:sz w:val="24"/>
          <w:szCs w:val="24"/>
        </w:rPr>
      </w:pPr>
    </w:p>
    <w:p w:rsidR="00256D6C" w14:paraId="22A1102A" w14:textId="77777777">
      <w:pPr>
        <w:jc w:val="center"/>
      </w:pPr>
    </w:p>
    <w:p w:rsidR="00256D6C" w14:paraId="17F5D6FA" w14:textId="77777777">
      <w:pPr>
        <w:jc w:val="both"/>
        <w:rPr>
          <w:sz w:val="26"/>
        </w:rPr>
      </w:pPr>
    </w:p>
    <w:p w:rsidR="00256D6C" w14:paraId="4D4505BE" w14:textId="77777777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256D6C" w14:paraId="6BFA2A74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6D6C" w14:paraId="773B9B93" w14:textId="77777777">
      <w:pPr>
        <w:jc w:val="both"/>
        <w:rPr>
          <w:sz w:val="24"/>
          <w:szCs w:val="24"/>
        </w:rPr>
      </w:pPr>
    </w:p>
    <w:p w:rsidR="00256D6C" w14:paraId="44CC44EC" w14:textId="77777777">
      <w:pPr>
        <w:jc w:val="both"/>
        <w:rPr>
          <w:sz w:val="24"/>
          <w:szCs w:val="24"/>
        </w:rPr>
      </w:pPr>
    </w:p>
    <w:p w:rsidR="00256D6C" w14:paraId="6B7CE893" w14:textId="77777777">
      <w:pPr>
        <w:jc w:val="both"/>
        <w:rPr>
          <w:sz w:val="24"/>
          <w:szCs w:val="24"/>
        </w:rPr>
      </w:pPr>
    </w:p>
    <w:p w:rsidR="00256D6C" w14:paraId="31F33D40" w14:textId="77777777">
      <w:pPr>
        <w:jc w:val="both"/>
        <w:rPr>
          <w:sz w:val="24"/>
          <w:szCs w:val="24"/>
        </w:rPr>
      </w:pPr>
    </w:p>
    <w:p w:rsidR="00256D6C" w14:paraId="5B817ED0" w14:textId="77777777">
      <w:pPr>
        <w:jc w:val="both"/>
        <w:rPr>
          <w:sz w:val="24"/>
          <w:szCs w:val="24"/>
        </w:rPr>
      </w:pPr>
    </w:p>
    <w:p w:rsidR="00256D6C" w14:paraId="11EAE51B" w14:textId="77777777">
      <w:pPr>
        <w:jc w:val="both"/>
        <w:rPr>
          <w:sz w:val="24"/>
          <w:szCs w:val="24"/>
        </w:rPr>
      </w:pPr>
    </w:p>
    <w:p w:rsidR="00256D6C" w14:paraId="7B63F3BA" w14:textId="77777777">
      <w:pPr>
        <w:jc w:val="both"/>
        <w:rPr>
          <w:sz w:val="24"/>
          <w:szCs w:val="24"/>
        </w:rPr>
      </w:pPr>
    </w:p>
    <w:p w:rsidR="00256D6C" w14:paraId="448A2C3E" w14:textId="77777777">
      <w:pPr>
        <w:jc w:val="both"/>
        <w:rPr>
          <w:sz w:val="24"/>
          <w:szCs w:val="24"/>
        </w:rPr>
      </w:pPr>
    </w:p>
    <w:p w:rsidR="00256D6C" w14:paraId="03D0222A" w14:textId="77777777">
      <w:pPr>
        <w:jc w:val="both"/>
        <w:rPr>
          <w:sz w:val="24"/>
          <w:szCs w:val="24"/>
        </w:rPr>
      </w:pPr>
    </w:p>
    <w:p w:rsidR="00256D6C" w14:paraId="62BB5E5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D6C" w14:paraId="491F8C45" w14:textId="77777777">
      <w:pPr>
        <w:jc w:val="both"/>
        <w:rPr>
          <w:sz w:val="24"/>
          <w:szCs w:val="24"/>
        </w:rPr>
      </w:pPr>
    </w:p>
    <w:p w:rsidR="00256D6C" w14:paraId="5A550A48" w14:textId="77777777">
      <w:pPr>
        <w:jc w:val="both"/>
        <w:rPr>
          <w:sz w:val="24"/>
          <w:szCs w:val="24"/>
        </w:rPr>
      </w:pPr>
    </w:p>
    <w:p w:rsidR="00256D6C" w14:paraId="0B78567C" w14:textId="77777777">
      <w:pPr>
        <w:ind w:firstLine="2835"/>
        <w:jc w:val="both"/>
        <w:rPr>
          <w:sz w:val="26"/>
        </w:rPr>
      </w:pPr>
    </w:p>
    <w:p w:rsidR="00256D6C" w14:paraId="229A7CDC" w14:textId="77777777">
      <w:pPr>
        <w:ind w:firstLine="2835"/>
        <w:jc w:val="both"/>
        <w:rPr>
          <w:sz w:val="26"/>
        </w:rPr>
      </w:pPr>
    </w:p>
    <w:p w:rsidR="00256D6C" w14:paraId="1BB4C509" w14:textId="77777777"/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2973A5"/>
    <w:rsid w:val="00325609"/>
    <w:rsid w:val="0037139A"/>
    <w:rsid w:val="008A0399"/>
    <w:rsid w:val="008E598A"/>
    <w:rsid w:val="008F31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2973A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2021-08-12T12:54:00Z</dcterms:modified>
</cp:coreProperties>
</file>