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2" w:rsidRDefault="00210902" w:rsidP="00210902">
      <w:pPr>
        <w:pStyle w:val="Padro"/>
        <w:spacing w:line="360" w:lineRule="auto"/>
        <w:ind w:left="2811" w:firstLine="15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PARECER JURÍDICO</w:t>
      </w: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E2664A" w:rsidRDefault="00210902" w:rsidP="00E2664A">
      <w:pPr>
        <w:pStyle w:val="Padro"/>
        <w:spacing w:line="360" w:lineRule="auto"/>
        <w:ind w:firstLine="15"/>
        <w:jc w:val="both"/>
        <w:rPr>
          <w:sz w:val="24"/>
          <w:u w:val="single"/>
        </w:rPr>
      </w:pPr>
      <w:r>
        <w:rPr>
          <w:sz w:val="24"/>
        </w:rPr>
        <w:t>REF</w:t>
      </w:r>
      <w:r w:rsidR="009B3635">
        <w:rPr>
          <w:sz w:val="24"/>
        </w:rPr>
        <w:t>ERÊNCIA</w:t>
      </w:r>
      <w:r w:rsidR="00E2664A">
        <w:rPr>
          <w:sz w:val="24"/>
        </w:rPr>
        <w:t xml:space="preserve">: </w:t>
      </w:r>
      <w:r w:rsidR="00E2664A" w:rsidRPr="00B66188">
        <w:rPr>
          <w:sz w:val="24"/>
          <w:u w:val="single"/>
        </w:rPr>
        <w:t xml:space="preserve">PROJETO DE LEI Nº </w:t>
      </w:r>
      <w:r w:rsidR="00E2664A">
        <w:rPr>
          <w:sz w:val="24"/>
          <w:u w:val="single"/>
        </w:rPr>
        <w:t>00</w:t>
      </w:r>
      <w:r w:rsidR="00E2664A" w:rsidRPr="00E2664A">
        <w:rPr>
          <w:sz w:val="24"/>
          <w:u w:val="single"/>
        </w:rPr>
        <w:t>71</w:t>
      </w:r>
      <w:r w:rsidR="00E2664A">
        <w:rPr>
          <w:sz w:val="24"/>
          <w:u w:val="single"/>
        </w:rPr>
        <w:t xml:space="preserve">, DE 07 DE OUTUBRO DE 2021, DE AUTORIA DO PREFEITO MUNICIPAL QUE DISPÕE </w:t>
      </w:r>
      <w:r w:rsidR="00E2664A" w:rsidRPr="004F189B">
        <w:rPr>
          <w:sz w:val="24"/>
          <w:u w:val="single"/>
        </w:rPr>
        <w:t xml:space="preserve">SOBRE </w:t>
      </w:r>
      <w:r w:rsidR="00E2664A" w:rsidRPr="00E2664A">
        <w:rPr>
          <w:sz w:val="24"/>
          <w:u w:val="single"/>
        </w:rPr>
        <w:t xml:space="preserve">O CONSELHO MUNICIPAL DE ESPORTE, E O FUNDO MUNICIPAL DE ESPORTE NO MUNICÍPIO DE BOTUCATU E DÁ OUTRAS PROVIDÊNCIAS </w:t>
      </w:r>
    </w:p>
    <w:p w:rsidR="00210902" w:rsidRDefault="0021090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210902" w:rsidRDefault="00210902" w:rsidP="004F189B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Trata-se de Projeto de Lei</w:t>
      </w:r>
      <w:r w:rsidR="00FC13F6">
        <w:rPr>
          <w:sz w:val="24"/>
        </w:rPr>
        <w:t>,</w:t>
      </w:r>
      <w:r>
        <w:rPr>
          <w:sz w:val="24"/>
        </w:rPr>
        <w:t xml:space="preserve"> de autoria do senhor Prefeito Municipal</w:t>
      </w:r>
      <w:r w:rsidR="00FC13F6">
        <w:rPr>
          <w:sz w:val="24"/>
        </w:rPr>
        <w:t>,</w:t>
      </w:r>
      <w:r>
        <w:rPr>
          <w:sz w:val="24"/>
        </w:rPr>
        <w:t xml:space="preserve"> que tem por objetivo</w:t>
      </w:r>
      <w:r w:rsidR="004F189B">
        <w:rPr>
          <w:sz w:val="24"/>
        </w:rPr>
        <w:t xml:space="preserve"> </w:t>
      </w:r>
      <w:r w:rsidR="00560154">
        <w:rPr>
          <w:sz w:val="24"/>
        </w:rPr>
        <w:t xml:space="preserve">dispor sobre </w:t>
      </w:r>
      <w:r w:rsidR="004F189B" w:rsidRPr="004F189B">
        <w:rPr>
          <w:sz w:val="24"/>
        </w:rPr>
        <w:t xml:space="preserve">o </w:t>
      </w:r>
      <w:bookmarkStart w:id="0" w:name="_GoBack"/>
      <w:r w:rsidR="00E2664A">
        <w:rPr>
          <w:sz w:val="24"/>
        </w:rPr>
        <w:t>Conselho Municipal de Esporte</w:t>
      </w:r>
      <w:r w:rsidR="00E2664A" w:rsidRPr="00E2664A">
        <w:rPr>
          <w:sz w:val="24"/>
        </w:rPr>
        <w:t xml:space="preserve"> e o Fundo </w:t>
      </w:r>
      <w:bookmarkEnd w:id="0"/>
      <w:r w:rsidR="00E2664A" w:rsidRPr="00E2664A">
        <w:rPr>
          <w:sz w:val="24"/>
        </w:rPr>
        <w:t>Municipal de Esporte no município de Botucatu</w:t>
      </w:r>
      <w:r w:rsidR="004F189B">
        <w:rPr>
          <w:sz w:val="24"/>
        </w:rPr>
        <w:t>.</w:t>
      </w:r>
    </w:p>
    <w:p w:rsidR="005E14BC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 w:rsidRPr="00ED153D">
        <w:rPr>
          <w:sz w:val="24"/>
        </w:rPr>
        <w:t xml:space="preserve">Conforme estabelece o inciso I do artigo 30 da Constituição Federal, </w:t>
      </w:r>
      <w:r w:rsidRPr="00ED153D">
        <w:rPr>
          <w:iCs/>
          <w:sz w:val="24"/>
        </w:rPr>
        <w:t>compete aos Municípios legislar sobre assuntos de interesse local</w:t>
      </w:r>
      <w:r w:rsidR="002A7F00">
        <w:rPr>
          <w:iCs/>
          <w:sz w:val="24"/>
        </w:rPr>
        <w:t>.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Consta da exposição de motivos do </w:t>
      </w:r>
      <w:r w:rsidR="002A022E">
        <w:rPr>
          <w:sz w:val="24"/>
        </w:rPr>
        <w:t>responsável pel</w:t>
      </w:r>
      <w:r>
        <w:rPr>
          <w:sz w:val="24"/>
        </w:rPr>
        <w:t>a Pasta</w:t>
      </w:r>
      <w:r w:rsidR="002A022E">
        <w:rPr>
          <w:sz w:val="24"/>
        </w:rPr>
        <w:t>, corroborada pela justificativa do autor do projeto, anexadas ao projeto de lei</w:t>
      </w:r>
      <w:r>
        <w:rPr>
          <w:sz w:val="24"/>
        </w:rPr>
        <w:t>: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F22DD9" w:rsidRPr="00F22DD9" w:rsidRDefault="002A7F00" w:rsidP="00F22DD9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“</w:t>
      </w:r>
      <w:r w:rsidR="00F22DD9" w:rsidRPr="00F22DD9">
        <w:rPr>
          <w:i/>
          <w:sz w:val="24"/>
        </w:rPr>
        <w:t>Tenho a honra de encaminhar a Vossa Excelência o presente Projeto de Lei, que dispõe sobre o Conselho Municipal de Esporte, e o Fundo Municipal de Esporte.</w:t>
      </w:r>
    </w:p>
    <w:p w:rsidR="00F22DD9" w:rsidRPr="00F22DD9" w:rsidRDefault="00F22DD9" w:rsidP="00F22DD9">
      <w:pPr>
        <w:pStyle w:val="Padro"/>
        <w:spacing w:line="360" w:lineRule="auto"/>
        <w:jc w:val="both"/>
        <w:rPr>
          <w:i/>
          <w:sz w:val="24"/>
        </w:rPr>
      </w:pPr>
      <w:r w:rsidRPr="00F22DD9">
        <w:rPr>
          <w:i/>
          <w:sz w:val="24"/>
        </w:rPr>
        <w:t xml:space="preserve">A aprovação de referida lei vem </w:t>
      </w:r>
      <w:r w:rsidRPr="00F22DD9">
        <w:rPr>
          <w:i/>
          <w:sz w:val="24"/>
          <w:u w:val="single"/>
        </w:rPr>
        <w:t>atualizar a Lei nº 3.657 que data de 1.997, que deverá ser revogada, sendo necessária para que possamos implementar referido Conselho e assim auxiliar na formulação e consolidação de políticas públicas voltadas ao esporte, objetivando a melhoria do padrão de organização, gestão, qualidade e transparência das ações</w:t>
      </w:r>
      <w:r w:rsidRPr="00F22DD9">
        <w:rPr>
          <w:i/>
          <w:sz w:val="24"/>
        </w:rPr>
        <w:t xml:space="preserve">. </w:t>
      </w:r>
    </w:p>
    <w:p w:rsidR="00F22DD9" w:rsidRPr="00F22DD9" w:rsidRDefault="00F22DD9" w:rsidP="00F22DD9">
      <w:pPr>
        <w:pStyle w:val="Padro"/>
        <w:spacing w:line="360" w:lineRule="auto"/>
        <w:jc w:val="both"/>
        <w:rPr>
          <w:i/>
          <w:sz w:val="24"/>
        </w:rPr>
      </w:pPr>
      <w:r w:rsidRPr="00F22DD9">
        <w:rPr>
          <w:i/>
          <w:sz w:val="24"/>
        </w:rPr>
        <w:t>Referido Conselho estará inserido na estrutura organizacional da Secretaria Municipal de Esportes e Promoção de Qualidade de Vida.</w:t>
      </w:r>
    </w:p>
    <w:p w:rsidR="00F22DD9" w:rsidRPr="00F22DD9" w:rsidRDefault="00F22DD9" w:rsidP="00F22DD9">
      <w:pPr>
        <w:pStyle w:val="Padro"/>
        <w:spacing w:line="360" w:lineRule="auto"/>
        <w:jc w:val="both"/>
        <w:rPr>
          <w:i/>
          <w:sz w:val="24"/>
        </w:rPr>
      </w:pPr>
      <w:r w:rsidRPr="00F22DD9">
        <w:rPr>
          <w:i/>
          <w:sz w:val="24"/>
        </w:rPr>
        <w:t>Por final, sob o ponto de vista jurídico, acompanha a proposta o parecer jurídico que concluiu pela constitucionalidade do projeto de lei</w:t>
      </w:r>
    </w:p>
    <w:p w:rsidR="00F22DD9" w:rsidRDefault="00F22DD9" w:rsidP="00F22DD9">
      <w:pPr>
        <w:pStyle w:val="Padro"/>
        <w:spacing w:line="360" w:lineRule="auto"/>
        <w:jc w:val="both"/>
        <w:rPr>
          <w:i/>
          <w:sz w:val="24"/>
        </w:rPr>
      </w:pPr>
      <w:r w:rsidRPr="00F22DD9">
        <w:rPr>
          <w:i/>
          <w:sz w:val="24"/>
        </w:rPr>
        <w:t xml:space="preserve">Diante do exposto, solicitamos o encaminhamento do presente projeto de lei à Câmara dos Vereadores, bem como, desde já, comunicamos a Vossa Excelência que estaremos </w:t>
      </w:r>
      <w:proofErr w:type="gramStart"/>
      <w:r w:rsidRPr="00F22DD9">
        <w:rPr>
          <w:i/>
          <w:sz w:val="24"/>
        </w:rPr>
        <w:t>a</w:t>
      </w:r>
      <w:proofErr w:type="gramEnd"/>
      <w:r w:rsidRPr="00F22DD9">
        <w:rPr>
          <w:i/>
          <w:sz w:val="24"/>
        </w:rPr>
        <w:t xml:space="preserve"> disposição dos Senhores Vereadores para expor as razões desta proposta.</w:t>
      </w:r>
      <w:r w:rsidRPr="00F22DD9">
        <w:rPr>
          <w:i/>
          <w:sz w:val="24"/>
        </w:rPr>
        <w:t xml:space="preserve"> </w:t>
      </w:r>
    </w:p>
    <w:p w:rsidR="00F22DD9" w:rsidRPr="00F22DD9" w:rsidRDefault="00F22DD9" w:rsidP="00F22DD9">
      <w:pPr>
        <w:pStyle w:val="Padro"/>
        <w:spacing w:line="360" w:lineRule="auto"/>
        <w:jc w:val="both"/>
        <w:rPr>
          <w:i/>
          <w:sz w:val="24"/>
        </w:rPr>
      </w:pPr>
      <w:r w:rsidRPr="00F22DD9">
        <w:rPr>
          <w:i/>
          <w:sz w:val="24"/>
        </w:rPr>
        <w:t>Respeitosamente,</w:t>
      </w:r>
    </w:p>
    <w:p w:rsidR="00F22DD9" w:rsidRPr="00F22DD9" w:rsidRDefault="00F22DD9" w:rsidP="00F22DD9">
      <w:pPr>
        <w:pStyle w:val="Padro"/>
        <w:spacing w:line="360" w:lineRule="auto"/>
        <w:jc w:val="center"/>
        <w:rPr>
          <w:i/>
          <w:sz w:val="24"/>
        </w:rPr>
      </w:pPr>
      <w:r w:rsidRPr="00F22DD9">
        <w:rPr>
          <w:i/>
          <w:sz w:val="24"/>
        </w:rPr>
        <w:t xml:space="preserve">Geraldo </w:t>
      </w:r>
      <w:proofErr w:type="spellStart"/>
      <w:r w:rsidRPr="00F22DD9">
        <w:rPr>
          <w:i/>
          <w:sz w:val="24"/>
        </w:rPr>
        <w:t>Pupo</w:t>
      </w:r>
      <w:proofErr w:type="spellEnd"/>
      <w:r w:rsidRPr="00F22DD9">
        <w:rPr>
          <w:i/>
          <w:sz w:val="24"/>
        </w:rPr>
        <w:t xml:space="preserve"> da Silveira</w:t>
      </w:r>
    </w:p>
    <w:p w:rsidR="00F22DD9" w:rsidRDefault="00F22DD9" w:rsidP="00F22DD9">
      <w:pPr>
        <w:pStyle w:val="Padro"/>
        <w:spacing w:line="360" w:lineRule="auto"/>
        <w:jc w:val="center"/>
        <w:rPr>
          <w:i/>
          <w:sz w:val="24"/>
        </w:rPr>
      </w:pPr>
      <w:r w:rsidRPr="00F22DD9">
        <w:rPr>
          <w:i/>
          <w:sz w:val="24"/>
        </w:rPr>
        <w:t>Secretaria Municipal de Esportes e Promoção de Qualidade de Vida</w:t>
      </w:r>
    </w:p>
    <w:p w:rsid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</w:p>
    <w:p w:rsidR="000664B7" w:rsidRDefault="000664B7" w:rsidP="000E02EC">
      <w:pPr>
        <w:pStyle w:val="Padro"/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</w:rPr>
        <w:lastRenderedPageBreak/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0664B7">
        <w:rPr>
          <w:sz w:val="24"/>
        </w:rPr>
        <w:t xml:space="preserve">Primeiramente cumpre esclarecer que </w:t>
      </w:r>
      <w:r w:rsidR="000E02EC" w:rsidRPr="000664B7">
        <w:rPr>
          <w:sz w:val="24"/>
        </w:rPr>
        <w:t xml:space="preserve">o Conselho Municipal </w:t>
      </w:r>
      <w:r w:rsidRPr="000664B7">
        <w:rPr>
          <w:sz w:val="24"/>
        </w:rPr>
        <w:t>é</w:t>
      </w:r>
      <w:r w:rsidR="000E02EC" w:rsidRPr="000664B7">
        <w:rPr>
          <w:sz w:val="24"/>
        </w:rPr>
        <w:t xml:space="preserve"> considerado um efetivo mecanismo para a concretização da democracia participativa preconizada pela Constituição Federal de 1988, tratando-se de importante meio para auxiliar a formulação, implementação e fis</w:t>
      </w:r>
      <w:r>
        <w:rPr>
          <w:sz w:val="24"/>
        </w:rPr>
        <w:t>calização das políticas públicas.</w:t>
      </w:r>
    </w:p>
    <w:p w:rsidR="0013160B" w:rsidRPr="004D38CD" w:rsidRDefault="0013160B" w:rsidP="0013160B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Os conselhos municipais objetivam avaliar e apresentar novas diretrizes e soluções para o pleno funcionamento da política pública de seu interesse no município. </w:t>
      </w:r>
    </w:p>
    <w:p w:rsidR="00023DF4" w:rsidRDefault="00023DF4" w:rsidP="00023DF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</w:t>
      </w:r>
      <w:r w:rsidRPr="00ED153D">
        <w:rPr>
          <w:sz w:val="24"/>
        </w:rPr>
        <w:t xml:space="preserve"> iniciativa </w:t>
      </w:r>
      <w:r>
        <w:rPr>
          <w:sz w:val="24"/>
        </w:rPr>
        <w:t>assegura</w:t>
      </w:r>
      <w:r w:rsidR="007C20C6">
        <w:rPr>
          <w:sz w:val="24"/>
        </w:rPr>
        <w:t xml:space="preserve"> importante</w:t>
      </w:r>
      <w:r w:rsidRPr="00ED153D">
        <w:rPr>
          <w:sz w:val="24"/>
        </w:rPr>
        <w:t xml:space="preserve"> </w:t>
      </w:r>
      <w:r w:rsidR="007C20C6">
        <w:rPr>
          <w:sz w:val="24"/>
        </w:rPr>
        <w:t>instrumento</w:t>
      </w:r>
      <w:r>
        <w:rPr>
          <w:sz w:val="24"/>
        </w:rPr>
        <w:t xml:space="preserve"> de p</w:t>
      </w:r>
      <w:r w:rsidR="007C20C6">
        <w:rPr>
          <w:sz w:val="24"/>
        </w:rPr>
        <w:t>articipação social que objetiva</w:t>
      </w:r>
      <w:r>
        <w:rPr>
          <w:sz w:val="24"/>
        </w:rPr>
        <w:t xml:space="preserve"> integrar as diversas esferas da sociedade, aumentando a eficácia das ações governamentais, permitindo a participação da população, por meio da sociedade civil organizada, na formulação e acompanhamento das políticas de</w:t>
      </w:r>
      <w:r w:rsidR="002A022E">
        <w:rPr>
          <w:sz w:val="24"/>
        </w:rPr>
        <w:t xml:space="preserve"> prevenção,</w:t>
      </w:r>
      <w:r>
        <w:rPr>
          <w:sz w:val="24"/>
        </w:rPr>
        <w:t xml:space="preserve"> planejamento e desenvolvimento do Município.</w:t>
      </w:r>
    </w:p>
    <w:p w:rsidR="00EA0729" w:rsidRDefault="00EA113D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O</w:t>
      </w:r>
      <w:r w:rsidR="00EA0729" w:rsidRPr="00EA0729">
        <w:rPr>
          <w:sz w:val="24"/>
        </w:rPr>
        <w:t xml:space="preserve"> projeto em análise está em consonância com a Constituição Federal</w:t>
      </w:r>
      <w:r w:rsidR="00616719">
        <w:rPr>
          <w:sz w:val="24"/>
        </w:rPr>
        <w:t>,</w:t>
      </w:r>
      <w:r w:rsidR="000664B7">
        <w:rPr>
          <w:sz w:val="24"/>
        </w:rPr>
        <w:t xml:space="preserve"> que </w:t>
      </w:r>
      <w:r w:rsidR="00500D2D">
        <w:rPr>
          <w:sz w:val="24"/>
        </w:rPr>
        <w:t>fomenta iniciativas</w:t>
      </w:r>
      <w:r w:rsidR="00211486">
        <w:rPr>
          <w:sz w:val="24"/>
        </w:rPr>
        <w:t xml:space="preserve"> desportivas</w:t>
      </w:r>
      <w:r w:rsidR="00616719">
        <w:rPr>
          <w:sz w:val="24"/>
        </w:rPr>
        <w:t>:</w:t>
      </w:r>
    </w:p>
    <w:p w:rsidR="00616719" w:rsidRDefault="00616719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>Art. 217. É dever do Estado fomentar práticas desportivas formais e não-formais, como direito de cada um, observados: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 xml:space="preserve">I - </w:t>
      </w:r>
      <w:proofErr w:type="gramStart"/>
      <w:r w:rsidRPr="00211486">
        <w:rPr>
          <w:i/>
          <w:sz w:val="24"/>
        </w:rPr>
        <w:t>a</w:t>
      </w:r>
      <w:proofErr w:type="gramEnd"/>
      <w:r w:rsidRPr="00211486">
        <w:rPr>
          <w:i/>
          <w:sz w:val="24"/>
        </w:rPr>
        <w:t xml:space="preserve"> autonomia das entidades desportivas dirigentes e associações, quanto a sua organização e funcionamento;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 xml:space="preserve">II - </w:t>
      </w:r>
      <w:proofErr w:type="gramStart"/>
      <w:r w:rsidRPr="00211486">
        <w:rPr>
          <w:i/>
          <w:sz w:val="24"/>
        </w:rPr>
        <w:t>a</w:t>
      </w:r>
      <w:proofErr w:type="gramEnd"/>
      <w:r w:rsidRPr="00211486">
        <w:rPr>
          <w:i/>
          <w:sz w:val="24"/>
        </w:rPr>
        <w:t xml:space="preserve"> destinação de recursos públicos para a promoção prioritária do desporto educacional e, em casos específicos, para a do desporto de alto rendimento;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>III - o tratamento diferenciado para o desporto profissional e o não- profissional;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 xml:space="preserve">IV - </w:t>
      </w:r>
      <w:proofErr w:type="gramStart"/>
      <w:r w:rsidRPr="00211486">
        <w:rPr>
          <w:i/>
          <w:sz w:val="24"/>
        </w:rPr>
        <w:t>a proteção e o incentivo</w:t>
      </w:r>
      <w:proofErr w:type="gramEnd"/>
      <w:r w:rsidRPr="00211486">
        <w:rPr>
          <w:i/>
          <w:sz w:val="24"/>
        </w:rPr>
        <w:t xml:space="preserve"> às manifestações desportivas de criação nacional.</w:t>
      </w:r>
    </w:p>
    <w:p w:rsid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</w:p>
    <w:p w:rsidR="002A022E" w:rsidRDefault="002A022E" w:rsidP="00B75010">
      <w:pPr>
        <w:pStyle w:val="Padro"/>
        <w:spacing w:line="360" w:lineRule="auto"/>
        <w:jc w:val="both"/>
        <w:rPr>
          <w:i/>
          <w:sz w:val="24"/>
        </w:rPr>
      </w:pPr>
    </w:p>
    <w:p w:rsidR="00C67FF6" w:rsidRPr="004D38CD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i/>
          <w:sz w:val="24"/>
        </w:rPr>
        <w:tab/>
      </w:r>
      <w:r w:rsidRPr="004D38CD">
        <w:rPr>
          <w:sz w:val="24"/>
        </w:rPr>
        <w:t>No artigo 29, inciso XII da Constituição Federal</w:t>
      </w:r>
      <w:r>
        <w:rPr>
          <w:sz w:val="24"/>
        </w:rPr>
        <w:t xml:space="preserve"> encontramos o berço constitucional dos Conselhos Municipais</w:t>
      </w:r>
      <w:r w:rsidRPr="004D38CD">
        <w:rPr>
          <w:sz w:val="24"/>
        </w:rPr>
        <w:t xml:space="preserve">, </w:t>
      </w:r>
      <w:r>
        <w:rPr>
          <w:sz w:val="24"/>
        </w:rPr>
        <w:t>estando</w:t>
      </w:r>
      <w:r w:rsidRPr="004D38CD">
        <w:rPr>
          <w:sz w:val="24"/>
        </w:rPr>
        <w:t xml:space="preserve"> dispostas as atribuições dos municípios, assegurando a “</w:t>
      </w:r>
      <w:r w:rsidRPr="004D38CD">
        <w:rPr>
          <w:i/>
          <w:sz w:val="24"/>
        </w:rPr>
        <w:t>cooperação das associações representativas no planejamento municipal”.</w:t>
      </w:r>
    </w:p>
    <w:p w:rsidR="00C67FF6" w:rsidRPr="00EE6758" w:rsidRDefault="00C67FF6" w:rsidP="0055024D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6758">
        <w:rPr>
          <w:sz w:val="24"/>
        </w:rPr>
        <w:t xml:space="preserve">Nota-se a importância dos Conselhos Municipais, ao se analisar por exemplo </w:t>
      </w:r>
      <w:r>
        <w:rPr>
          <w:sz w:val="24"/>
        </w:rPr>
        <w:t>o que preceitua o artigo 31 da L</w:t>
      </w:r>
      <w:r w:rsidRPr="00EE6758">
        <w:rPr>
          <w:sz w:val="24"/>
        </w:rPr>
        <w:t>ei Orgânica do Município:</w:t>
      </w:r>
    </w:p>
    <w:p w:rsidR="00C67FF6" w:rsidRPr="00EE6758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</w:p>
    <w:p w:rsidR="00C67FF6" w:rsidRDefault="00C67FF6" w:rsidP="00C84D65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EE6758">
        <w:rPr>
          <w:i/>
          <w:sz w:val="24"/>
        </w:rPr>
        <w:t xml:space="preserve">Art. 31 </w:t>
      </w:r>
      <w:r w:rsidRPr="00EE6758">
        <w:rPr>
          <w:i/>
          <w:sz w:val="24"/>
          <w:u w:val="single"/>
        </w:rPr>
        <w:t xml:space="preserve">Quando se tratar de autorização da Câmara para a celebração de convênios ou outros </w:t>
      </w:r>
      <w:r w:rsidRPr="00EE6758">
        <w:rPr>
          <w:i/>
          <w:sz w:val="24"/>
          <w:u w:val="single"/>
        </w:rPr>
        <w:lastRenderedPageBreak/>
        <w:t>tipos de contrato, celebrados entre o município e outros órgãos públicos ou privados</w:t>
      </w:r>
      <w:r w:rsidRPr="00EE6758">
        <w:rPr>
          <w:i/>
          <w:sz w:val="24"/>
        </w:rPr>
        <w:t xml:space="preserve">, deve obrigatoriamente ser anexada ao projeto de lei a minuta do contrato que será assinado, bem como extrato do relatório das atividades e prestação de contas dos recursos transferidos no exercício anterior, </w:t>
      </w:r>
      <w:r w:rsidRPr="00EE6758">
        <w:rPr>
          <w:i/>
          <w:sz w:val="24"/>
          <w:u w:val="single"/>
        </w:rPr>
        <w:t>acompanhados de manifestação do Conselho Municipal competente.</w:t>
      </w:r>
    </w:p>
    <w:p w:rsidR="00C67FF6" w:rsidRDefault="00C67FF6" w:rsidP="00023DF4">
      <w:pPr>
        <w:pStyle w:val="Padro"/>
        <w:spacing w:line="360" w:lineRule="auto"/>
        <w:jc w:val="both"/>
        <w:rPr>
          <w:i/>
          <w:sz w:val="24"/>
        </w:rPr>
      </w:pPr>
    </w:p>
    <w:p w:rsidR="00023DF4" w:rsidRDefault="00C67FF6" w:rsidP="00C07527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3DF4" w:rsidRPr="00023DF4">
        <w:rPr>
          <w:sz w:val="24"/>
        </w:rPr>
        <w:t xml:space="preserve">O projeto de lei em análise também se coaduna com o previsto </w:t>
      </w:r>
      <w:r w:rsidR="00EE475A">
        <w:rPr>
          <w:sz w:val="24"/>
        </w:rPr>
        <w:t xml:space="preserve">na </w:t>
      </w:r>
      <w:r w:rsidR="00F849DB">
        <w:rPr>
          <w:sz w:val="24"/>
        </w:rPr>
        <w:t>Lei n</w:t>
      </w:r>
      <w:r w:rsidR="007F17B0">
        <w:rPr>
          <w:sz w:val="24"/>
        </w:rPr>
        <w:t xml:space="preserve">º </w:t>
      </w:r>
      <w:r w:rsidR="00EE475A">
        <w:rPr>
          <w:sz w:val="24"/>
        </w:rPr>
        <w:t>1.224/2017 (</w:t>
      </w:r>
      <w:r w:rsidR="00EE475A" w:rsidRPr="00EE475A">
        <w:rPr>
          <w:sz w:val="24"/>
        </w:rPr>
        <w:t>Plano Diretor Participativo do Município de Botucatu</w:t>
      </w:r>
      <w:r w:rsidR="00211486">
        <w:rPr>
          <w:sz w:val="24"/>
        </w:rPr>
        <w:t>)</w:t>
      </w:r>
      <w:r w:rsidR="00023DF4" w:rsidRPr="00023DF4">
        <w:rPr>
          <w:sz w:val="24"/>
        </w:rPr>
        <w:t>: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>Art. 147 São objetivos das políticas de Esporte e Lazer: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 xml:space="preserve">I - Assegurar a </w:t>
      </w:r>
      <w:proofErr w:type="gramStart"/>
      <w:r w:rsidRPr="00211486">
        <w:rPr>
          <w:i/>
          <w:sz w:val="24"/>
        </w:rPr>
        <w:t>todos oportunidades</w:t>
      </w:r>
      <w:proofErr w:type="gramEnd"/>
      <w:r w:rsidRPr="00211486">
        <w:rPr>
          <w:i/>
          <w:sz w:val="24"/>
        </w:rPr>
        <w:t xml:space="preserve"> para a efetiva prática de atividades físicas regulares, contemplando os cidadãos, nas suas diversas faixas etárias, para a melhoria de sua qualidade de vida e saúde;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>II - Desenvolver políticas públicas de Esporte e Lazer com ampla participação da sociedade.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>Art. 148 São diretrizes gerais das políticas de Esporte e Lazer: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>I - Ampliar o orçamento da Secretaria Municipal de Esportes e Lazer;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11486">
        <w:rPr>
          <w:i/>
          <w:sz w:val="24"/>
        </w:rPr>
        <w:t xml:space="preserve">II - </w:t>
      </w:r>
      <w:r w:rsidRPr="00211486">
        <w:rPr>
          <w:i/>
          <w:sz w:val="24"/>
          <w:u w:val="single"/>
        </w:rPr>
        <w:t>Buscar junto aos governos federal e estadual e às organizações e empresas do setor privado recursos financeiros para somar aos investimentos públicos na área esportiva;</w:t>
      </w:r>
    </w:p>
    <w:p w:rsidR="00211486" w:rsidRPr="00211486" w:rsidRDefault="00211486" w:rsidP="00211486">
      <w:pPr>
        <w:pStyle w:val="Padro"/>
        <w:spacing w:line="360" w:lineRule="auto"/>
        <w:jc w:val="both"/>
        <w:rPr>
          <w:i/>
          <w:sz w:val="24"/>
        </w:rPr>
      </w:pPr>
      <w:r w:rsidRPr="00211486">
        <w:rPr>
          <w:i/>
          <w:sz w:val="24"/>
        </w:rPr>
        <w:t>III - Promover a implantação de novos equipamentos sociais e esportivos, incluindo praças da juventude, centros esportivos, centros de inclusão esportiva, academias ao ar livre, praças esportivas em locais a serem definidos por meio de estudos técnicos;</w:t>
      </w:r>
    </w:p>
    <w:p w:rsidR="00211486" w:rsidRDefault="00211486" w:rsidP="00211486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11486">
        <w:rPr>
          <w:i/>
          <w:sz w:val="24"/>
        </w:rPr>
        <w:t xml:space="preserve">IV - </w:t>
      </w:r>
      <w:r w:rsidRPr="00211486">
        <w:rPr>
          <w:i/>
          <w:sz w:val="24"/>
          <w:u w:val="single"/>
        </w:rPr>
        <w:t>Estreitar a parceria com o Conselho Municipal de Esportes na execução das ações das políticas municipais de esporte e lazer.</w:t>
      </w:r>
    </w:p>
    <w:p w:rsidR="00FE7B6E" w:rsidRPr="00FE7B6E" w:rsidRDefault="00FE7B6E" w:rsidP="00211486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...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Art. 150 São diretrizes da política municipal de esporte de Alto Rendimento: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I - Implementar ações que possam oferecer aos atletas de alto rendimento auxílio para seu treinamento e participação em eventos que revertam em beneficio para o município;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II - Valorizar e capacitar os técnicos das diversas modalidades que representam a cidade em eventos de relevância esportiva;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III - Expandir e melhorar a estrutura física dos equipamentos públicos municipais sociais e esportivos, que contemplem a prática adequada de modalidades do alto rendimento;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IV - Garantir, nos limites do orçamento, a doação de equipamentos aos atletas individuais para o treinamento especializado das diversas modalidades;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lastRenderedPageBreak/>
        <w:t>V - Participar de eventos esportivos de caráter oficial de âmbito regional e estadual e os de relevância no calendário nacional e internacional, observado o interesse municipal;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VI - Promover eventos esportivos de visibilidade estadual, nacional e internacional que possibilitem a participação dos atletas do Município;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VII - Realizar cursos de capacitação para técnicos, atletas e comunidade do segmento esportivo em parceria com o Governo Estadual, Federações Paulistas Esportivas, universidades e empresas;</w:t>
      </w:r>
    </w:p>
    <w:p w:rsidR="00FE7B6E" w:rsidRP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VIII - Promover programas esportivos para os profissionais de Educação Física da rede municipal de ensino;</w:t>
      </w:r>
    </w:p>
    <w:p w:rsidR="00FE7B6E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 w:rsidRPr="00FE7B6E">
        <w:rPr>
          <w:i/>
          <w:sz w:val="24"/>
        </w:rPr>
        <w:t>IX - Estabelecer diretrizes para a criação de Bolsa Atleta.</w:t>
      </w:r>
    </w:p>
    <w:p w:rsidR="00AB3144" w:rsidRDefault="00AB3144" w:rsidP="009B4A5A">
      <w:pPr>
        <w:pStyle w:val="Padro"/>
        <w:spacing w:line="360" w:lineRule="auto"/>
        <w:jc w:val="both"/>
        <w:rPr>
          <w:i/>
          <w:sz w:val="24"/>
        </w:rPr>
      </w:pP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Cabe salientar que a instituição de referido Conselho, ocorrerá observando-se a exigência fundamental e inerente a qualquer Conselho Municipal que é sua composição no mínimo paritária, ou seja, ser formado por pelo menos metade de integrantes pertencentes à sociedade civil.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Esse entendimento pacífico pode ser constatado por exemplo na oportunidade em que o TCU determinou ao Ministério da Saúde que se “</w:t>
      </w:r>
      <w:r w:rsidRPr="00AB3144">
        <w:rPr>
          <w:i/>
          <w:sz w:val="24"/>
        </w:rPr>
        <w:t>abstivesse de transferir valores aos entes da federação que não observam a paridade na composição do respectivo Conselho de Saúde, de forma a privilegiar as unidades que tenham compromisso com o efetivo controle social, consoante previsto nos incisos II e parágrafo único do art. 4º da Lei nº 8.142/90, c/c a terceira diretriz da Resolução nº 333/2003, do Conselho Nacional de Saúde</w:t>
      </w:r>
      <w:r w:rsidRPr="00AB3144">
        <w:rPr>
          <w:sz w:val="24"/>
        </w:rPr>
        <w:t xml:space="preserve">”. </w:t>
      </w:r>
    </w:p>
    <w:p w:rsidR="00AB3144" w:rsidRPr="00AB3144" w:rsidRDefault="009D1892" w:rsidP="00AB314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ab/>
        <w:t>Por exemplo, a</w:t>
      </w:r>
      <w:r w:rsidR="00AB3144" w:rsidRPr="00AB3144">
        <w:rPr>
          <w:sz w:val="24"/>
        </w:rPr>
        <w:t xml:space="preserve"> Lei 8.142/90 estabelece que para receberem os recursos do Fundo Nacional de Saúde - FNS, os Municípios, os Estados e o Distrito Federal deverão contar com Fun</w:t>
      </w:r>
      <w:r>
        <w:rPr>
          <w:sz w:val="24"/>
        </w:rPr>
        <w:t>do de Saúde,</w:t>
      </w:r>
      <w:r w:rsidR="00AB3144" w:rsidRPr="00AB3144">
        <w:rPr>
          <w:sz w:val="24"/>
        </w:rPr>
        <w:t xml:space="preserve"> Conselho de Saúde, com composição paritária nos moldes do Decreto n° 99.438, de 7 de agosto de 1990.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 xml:space="preserve">Ademais, embora seja uma previsão da Constituição Estadual de Santa Catarina, que se atentou expressamente para isso no artigo 14, inciso I, salienta-se que a composição dos conselhos deve se dar de maneira a observar a paridade, devendo ser respeitada naquele caso também por </w:t>
      </w:r>
      <w:r>
        <w:rPr>
          <w:sz w:val="24"/>
        </w:rPr>
        <w:t>força do princípio da simetria: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>Art. 14. São instrumentos de gestão democrática das ações da administração pública, nos campos administrativo, social e econômico, nos termos da lei:</w:t>
      </w: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 xml:space="preserve">I – </w:t>
      </w:r>
      <w:proofErr w:type="gramStart"/>
      <w:r w:rsidRPr="00AB3144">
        <w:rPr>
          <w:i/>
          <w:sz w:val="24"/>
        </w:rPr>
        <w:t>o</w:t>
      </w:r>
      <w:proofErr w:type="gramEnd"/>
      <w:r w:rsidRPr="00AB3144">
        <w:rPr>
          <w:i/>
          <w:sz w:val="24"/>
        </w:rPr>
        <w:t xml:space="preserve"> funcionamento de conselhos estaduais, com representação paritária de membros do Poder </w:t>
      </w:r>
      <w:r w:rsidRPr="00AB3144">
        <w:rPr>
          <w:i/>
          <w:sz w:val="24"/>
        </w:rPr>
        <w:lastRenderedPageBreak/>
        <w:t>Público e da sociedade civil organizada;</w:t>
      </w:r>
    </w:p>
    <w:p w:rsidR="00497B03" w:rsidRDefault="00497B03" w:rsidP="004D38CD">
      <w:pPr>
        <w:pStyle w:val="Padro"/>
        <w:spacing w:line="360" w:lineRule="auto"/>
        <w:ind w:firstLine="2830"/>
        <w:jc w:val="both"/>
        <w:rPr>
          <w:sz w:val="24"/>
        </w:rPr>
      </w:pPr>
    </w:p>
    <w:p w:rsidR="004D38CD" w:rsidRP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Continuando na análise do tema “</w:t>
      </w:r>
      <w:r w:rsidRPr="006D6BED">
        <w:rPr>
          <w:sz w:val="24"/>
          <w:u w:val="single"/>
        </w:rPr>
        <w:t>Conselho Municipal</w:t>
      </w:r>
      <w:r>
        <w:rPr>
          <w:sz w:val="24"/>
        </w:rPr>
        <w:t xml:space="preserve">”, cumpre informar que </w:t>
      </w:r>
      <w:r w:rsidR="004D38CD" w:rsidRPr="004D38CD">
        <w:rPr>
          <w:sz w:val="24"/>
        </w:rPr>
        <w:t>podem possuir caráter fiscalizador, deliberativo, consultivo, normativo e propositivo, citando-se a seguir seus conceitos: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FISCALIZADOR: Além da Câmara de vereadores e do Tribunal de Contas, alguns conselhos podem e devem fiscalizar as contas públicas e emitir parecer conclusivo;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DELIBERATIVO: Podem decidir sobre assuntos, formular planos e normas, competindo o caráter decisório sobre as suas funções;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CONSULTIVO: Tem a responsabilidade de emitir pareceres sobres assuntos de sua competência, sendo consultados pelo Poder Executivo, mas sem poder de decisão;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· NORMATIVO: Reinterpreta as normas vigentes como também </w:t>
      </w:r>
      <w:proofErr w:type="gramStart"/>
      <w:r w:rsidRPr="004D38CD">
        <w:rPr>
          <w:sz w:val="24"/>
        </w:rPr>
        <w:t>as cria</w:t>
      </w:r>
      <w:proofErr w:type="gramEnd"/>
      <w:r w:rsidRPr="004D38CD">
        <w:rPr>
          <w:sz w:val="24"/>
        </w:rPr>
        <w:t>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PROPOSITIVO: Propõe ações ao Poder Executivo.</w:t>
      </w:r>
    </w:p>
    <w:p w:rsidR="007A465B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Os conselhos funcionam como uma organização capaz de estreitar a relação entre o governo e sociedade civil a partir da participação popular em conjunto com a administração pública nas decisões regentes na sociedade. Um exercício de democracia na busca de soluções para os problemas sociais, com benefício da população como um todo.</w:t>
      </w:r>
    </w:p>
    <w:p w:rsid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No que concerne </w:t>
      </w:r>
      <w:r w:rsidR="004D38CD">
        <w:rPr>
          <w:sz w:val="24"/>
        </w:rPr>
        <w:t xml:space="preserve">à criação do Fundo </w:t>
      </w:r>
      <w:r w:rsidR="009D1892">
        <w:rPr>
          <w:sz w:val="24"/>
        </w:rPr>
        <w:t>atrelado ao Conselho</w:t>
      </w:r>
      <w:r w:rsidR="004D38CD">
        <w:rPr>
          <w:sz w:val="24"/>
        </w:rPr>
        <w:t>,</w:t>
      </w:r>
      <w:r w:rsidR="0092578F">
        <w:rPr>
          <w:sz w:val="24"/>
        </w:rPr>
        <w:t xml:space="preserve"> </w:t>
      </w:r>
      <w:r w:rsidR="00C67FF6">
        <w:rPr>
          <w:sz w:val="24"/>
        </w:rPr>
        <w:t>importante observar o que dispõe o</w:t>
      </w:r>
      <w:r w:rsidR="004D38CD">
        <w:rPr>
          <w:sz w:val="24"/>
        </w:rPr>
        <w:t xml:space="preserve"> artigo 71</w:t>
      </w:r>
      <w:r>
        <w:rPr>
          <w:sz w:val="24"/>
        </w:rPr>
        <w:t xml:space="preserve"> e seguintes</w:t>
      </w:r>
      <w:r w:rsidR="004D38CD">
        <w:rPr>
          <w:sz w:val="24"/>
        </w:rPr>
        <w:t xml:space="preserve"> da Lei </w:t>
      </w:r>
      <w:r>
        <w:rPr>
          <w:sz w:val="24"/>
        </w:rPr>
        <w:t xml:space="preserve">Federal </w:t>
      </w:r>
      <w:r w:rsidR="004D38CD">
        <w:rPr>
          <w:sz w:val="24"/>
        </w:rPr>
        <w:t>4.320/196</w:t>
      </w:r>
      <w:r w:rsidR="002A3B67">
        <w:rPr>
          <w:sz w:val="24"/>
        </w:rPr>
        <w:t>4</w:t>
      </w:r>
      <w:r w:rsidR="004D38CD">
        <w:rPr>
          <w:sz w:val="24"/>
        </w:rPr>
        <w:t>:</w:t>
      </w:r>
    </w:p>
    <w:p w:rsidR="00C67FF6" w:rsidRDefault="00C67FF6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</w:p>
    <w:p w:rsidR="002A3B67" w:rsidRPr="002A3B67" w:rsidRDefault="00FE7B6E" w:rsidP="00FE7B6E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2A3B67" w:rsidRPr="002A3B67">
        <w:rPr>
          <w:i/>
          <w:sz w:val="24"/>
        </w:rPr>
        <w:t>Art. 71. Constitui fundo especial o produto de receitas especificadas que por lei se vinculam à realização de determinados objetivos ou serviços, facultada a adoção de normas peculiares de aplicação.</w:t>
      </w:r>
    </w:p>
    <w:p w:rsidR="002A3B67" w:rsidRPr="002A3B67" w:rsidRDefault="002A3B67" w:rsidP="00FE7B6E">
      <w:pPr>
        <w:pStyle w:val="Padro"/>
        <w:spacing w:line="360" w:lineRule="auto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72. A aplicação das receitas orçamentárias vinculadas a fundos especiais far-se-á através de dotação consignada na Lei de Orçamento ou em créditos adicionais.</w:t>
      </w:r>
    </w:p>
    <w:p w:rsidR="002A3B67" w:rsidRPr="002A3B67" w:rsidRDefault="002A3B67" w:rsidP="00FE7B6E">
      <w:pPr>
        <w:pStyle w:val="Padro"/>
        <w:spacing w:line="360" w:lineRule="auto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73. Salvo determinação em contrário da lei que o instituiu, o saldo positivo do fundo especial apurado em balanço será transferido para o exercício seguinte, a crédito do mesmo fundo.</w:t>
      </w:r>
    </w:p>
    <w:p w:rsidR="002A3B67" w:rsidRPr="002A3B67" w:rsidRDefault="002A3B67" w:rsidP="00FE7B6E">
      <w:pPr>
        <w:pStyle w:val="Padro"/>
        <w:spacing w:line="360" w:lineRule="auto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74. A lei que instituir fundo especial poderá determ</w:t>
      </w:r>
      <w:r w:rsidR="00C67FF6">
        <w:rPr>
          <w:i/>
          <w:sz w:val="24"/>
        </w:rPr>
        <w:t>inar normas peculiares de contro</w:t>
      </w:r>
      <w:r w:rsidRPr="002A3B67">
        <w:rPr>
          <w:i/>
          <w:sz w:val="24"/>
        </w:rPr>
        <w:t xml:space="preserve">le, prestação e tomada de contas, sem de qualquer modo, elidir a competência específica do </w:t>
      </w:r>
      <w:r w:rsidRPr="002A3B67">
        <w:rPr>
          <w:i/>
          <w:sz w:val="24"/>
        </w:rPr>
        <w:lastRenderedPageBreak/>
        <w:t>Tribunal de Contas ou órgão equivalente.</w:t>
      </w:r>
    </w:p>
    <w:p w:rsidR="00AF2308" w:rsidRDefault="00AF2308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Embora juridicamente não se possa conceituar o Fundo como sendo propriamente um órgão da administração pública, inegavelmente é ele um “ente” que </w:t>
      </w:r>
      <w:r w:rsidRPr="008137B8">
        <w:rPr>
          <w:sz w:val="24"/>
          <w:u w:val="single"/>
        </w:rPr>
        <w:t>recebe, administra e aplica recursos para atendimento das políticas púb</w:t>
      </w:r>
      <w:r w:rsidR="000C068B" w:rsidRPr="008137B8">
        <w:rPr>
          <w:sz w:val="24"/>
          <w:u w:val="single"/>
        </w:rPr>
        <w:t>licas para as quais foi criado</w:t>
      </w:r>
      <w:r w:rsidR="000C068B">
        <w:rPr>
          <w:sz w:val="24"/>
        </w:rPr>
        <w:t>, e,</w:t>
      </w:r>
      <w:r w:rsidRPr="002A3B67">
        <w:rPr>
          <w:sz w:val="24"/>
        </w:rPr>
        <w:t xml:space="preserve"> sendo desprovido de personalidade jurídica, obrigatoriamente deve estar vinculado a um órgão, no caso, à </w:t>
      </w:r>
      <w:r w:rsidR="00C4318A" w:rsidRPr="00FE7B6E">
        <w:rPr>
          <w:i/>
          <w:sz w:val="24"/>
        </w:rPr>
        <w:t>Secretaria Municipal de Esportes e Promoção de Qualidade de Vida</w:t>
      </w:r>
      <w:r w:rsidRPr="002A3B67">
        <w:rPr>
          <w:sz w:val="24"/>
        </w:rPr>
        <w:t>.</w:t>
      </w:r>
    </w:p>
    <w:p w:rsid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Portanto, a criação de qualquer ente, tenha ele a denominação que for – Fundo, Conselho, Comissão – para auxiliar a administração na implantação e desenvolvimento das políticas públicas, implicará matéria cujo conteúdo diz respeito à própria organização administrativa do município, sua estruturação, atribuições de secretarias, órgãos e demais entidades, além do próprio orçamento, cujas competências são privativas do Executivo Municipal, nos termos do artigo </w:t>
      </w:r>
      <w:r w:rsidR="000C068B">
        <w:rPr>
          <w:sz w:val="24"/>
        </w:rPr>
        <w:t>32</w:t>
      </w:r>
      <w:r w:rsidRPr="002A3B67">
        <w:rPr>
          <w:sz w:val="24"/>
        </w:rPr>
        <w:t>, inciso</w:t>
      </w:r>
      <w:r w:rsidR="000C068B">
        <w:rPr>
          <w:sz w:val="24"/>
        </w:rPr>
        <w:t xml:space="preserve"> </w:t>
      </w:r>
      <w:r w:rsidRPr="002A3B67">
        <w:rPr>
          <w:sz w:val="24"/>
        </w:rPr>
        <w:t>V</w:t>
      </w:r>
      <w:r w:rsidR="000C068B">
        <w:rPr>
          <w:sz w:val="24"/>
        </w:rPr>
        <w:t>III</w:t>
      </w:r>
      <w:r w:rsidRPr="002A3B67">
        <w:rPr>
          <w:sz w:val="24"/>
        </w:rPr>
        <w:t xml:space="preserve"> da Lei Orgânica do Município.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Desta feita, percebe-se que a iniciativa da criação de Fundos Municipais é</w:t>
      </w:r>
      <w:r>
        <w:rPr>
          <w:sz w:val="24"/>
        </w:rPr>
        <w:t xml:space="preserve"> </w:t>
      </w:r>
      <w:r w:rsidRPr="009F1E93">
        <w:rPr>
          <w:sz w:val="24"/>
        </w:rPr>
        <w:t>de competência exclusiva do chefe do Poder Executivo, por tratar-se da utilização</w:t>
      </w:r>
      <w:r>
        <w:rPr>
          <w:sz w:val="24"/>
        </w:rPr>
        <w:t xml:space="preserve"> </w:t>
      </w:r>
      <w:r w:rsidRPr="009F1E93">
        <w:rPr>
          <w:sz w:val="24"/>
        </w:rPr>
        <w:t>específica de receitas municipais, com vinculação a realização de serviços específicos.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Alguns conceitos doutrinári</w:t>
      </w:r>
      <w:r w:rsidR="00465BF2">
        <w:rPr>
          <w:sz w:val="24"/>
        </w:rPr>
        <w:t>os informam que</w:t>
      </w:r>
      <w:r w:rsidRPr="009F1E93">
        <w:rPr>
          <w:sz w:val="24"/>
        </w:rPr>
        <w:t xml:space="preserve">: " (...) </w:t>
      </w:r>
      <w:r w:rsidRPr="008137B8">
        <w:rPr>
          <w:i/>
          <w:sz w:val="24"/>
        </w:rPr>
        <w:t>o fundo especial não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é entidade jurídica, órgão ou unidade orçamentária, ou ainda uma conta mantida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na Contabilidade, mas tão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somente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um tipo de gestão financeira de recursos ou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conjunto de recursos vinculados ou alocados a uma área de responsabilidade para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cumprimento de objetivos específicos, mediante a execução de programas com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eles relacionados</w:t>
      </w:r>
      <w:proofErr w:type="gramStart"/>
      <w:r w:rsidRPr="009F1E93">
        <w:rPr>
          <w:sz w:val="24"/>
        </w:rPr>
        <w:t>” .</w:t>
      </w:r>
      <w:proofErr w:type="gramEnd"/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Logo, por serem desprovidos de personalidade jurídica (pessoa jurídica</w:t>
      </w:r>
      <w:r w:rsidR="000C068B">
        <w:rPr>
          <w:sz w:val="24"/>
        </w:rPr>
        <w:t xml:space="preserve"> </w:t>
      </w:r>
      <w:r w:rsidRPr="009F1E93">
        <w:rPr>
          <w:sz w:val="24"/>
        </w:rPr>
        <w:t>de direito público interno é o Município) e por não se constituírem em órgãos</w:t>
      </w:r>
      <w:r w:rsidR="000C068B">
        <w:rPr>
          <w:sz w:val="24"/>
        </w:rPr>
        <w:t xml:space="preserve"> </w:t>
      </w:r>
      <w:r w:rsidRPr="009F1E93">
        <w:rPr>
          <w:sz w:val="24"/>
        </w:rPr>
        <w:t>(órgão é o Conselho), os fundos, obrigatoriamente, devem ser vinculados</w:t>
      </w:r>
      <w:r w:rsidR="000C068B">
        <w:rPr>
          <w:sz w:val="24"/>
        </w:rPr>
        <w:t xml:space="preserve"> </w:t>
      </w:r>
      <w:r w:rsidRPr="009F1E93">
        <w:rPr>
          <w:sz w:val="24"/>
        </w:rPr>
        <w:t>administrativamente a um órgão do Poder Público.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Também, alude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que a instituição de Fundo Municipal dependerá</w:t>
      </w:r>
      <w:r w:rsidR="000C068B">
        <w:rPr>
          <w:sz w:val="24"/>
        </w:rPr>
        <w:t xml:space="preserve"> </w:t>
      </w:r>
      <w:r w:rsidRPr="009F1E93">
        <w:rPr>
          <w:sz w:val="24"/>
        </w:rPr>
        <w:t>sempre de lei local, que tanto poderá ser uma lei específica quanto a própria lei</w:t>
      </w:r>
      <w:r w:rsidR="000C068B">
        <w:rPr>
          <w:sz w:val="24"/>
        </w:rPr>
        <w:t xml:space="preserve"> </w:t>
      </w:r>
      <w:r w:rsidRPr="009F1E93">
        <w:rPr>
          <w:sz w:val="24"/>
        </w:rPr>
        <w:t>instituidora do Conselho Municipal específico</w:t>
      </w:r>
      <w:r w:rsidR="000C068B">
        <w:rPr>
          <w:sz w:val="24"/>
        </w:rPr>
        <w:t>, como é o caso do projeto em análise</w:t>
      </w:r>
      <w:r w:rsidRPr="009F1E93">
        <w:rPr>
          <w:sz w:val="24"/>
        </w:rPr>
        <w:t>.</w:t>
      </w:r>
    </w:p>
    <w:p w:rsidR="009F1E93" w:rsidRPr="00FE7B6E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FE7B6E">
        <w:rPr>
          <w:sz w:val="24"/>
        </w:rPr>
        <w:t>Criado o Fundo Municipal com vinculação ao Conselho Municipal</w:t>
      </w:r>
      <w:r w:rsidR="000C068B" w:rsidRPr="00FE7B6E">
        <w:rPr>
          <w:sz w:val="24"/>
        </w:rPr>
        <w:t xml:space="preserve"> </w:t>
      </w:r>
      <w:r w:rsidRPr="00FE7B6E">
        <w:rPr>
          <w:sz w:val="24"/>
        </w:rPr>
        <w:t>específico, cumpre destacar que esta vinculação não está a significar que o</w:t>
      </w:r>
      <w:r w:rsidR="000C068B" w:rsidRPr="00FE7B6E">
        <w:rPr>
          <w:sz w:val="24"/>
        </w:rPr>
        <w:t xml:space="preserve"> </w:t>
      </w:r>
      <w:r w:rsidRPr="00FE7B6E">
        <w:rPr>
          <w:sz w:val="24"/>
        </w:rPr>
        <w:t>Conselho será o responsável por sua contabilização e escrituração. Significa, isto</w:t>
      </w:r>
      <w:r w:rsidR="000C068B" w:rsidRPr="00FE7B6E">
        <w:rPr>
          <w:sz w:val="24"/>
        </w:rPr>
        <w:t xml:space="preserve"> </w:t>
      </w:r>
      <w:r w:rsidRPr="00FE7B6E">
        <w:rPr>
          <w:sz w:val="24"/>
        </w:rPr>
        <w:t>sim, que nenhum recurso poderá ter destinação e aplicação sem que tenham sido</w:t>
      </w:r>
      <w:r w:rsidR="000C068B" w:rsidRPr="00FE7B6E">
        <w:rPr>
          <w:sz w:val="24"/>
        </w:rPr>
        <w:t xml:space="preserve"> </w:t>
      </w:r>
      <w:proofErr w:type="gramStart"/>
      <w:r w:rsidR="00CD3AF3" w:rsidRPr="00FE7B6E">
        <w:rPr>
          <w:sz w:val="24"/>
        </w:rPr>
        <w:t>deliberado</w:t>
      </w:r>
      <w:proofErr w:type="gramEnd"/>
      <w:r w:rsidRPr="00FE7B6E">
        <w:rPr>
          <w:sz w:val="24"/>
        </w:rPr>
        <w:t xml:space="preserve"> politicamente (e tecnicamente) pelo Conselho.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lastRenderedPageBreak/>
        <w:t>É dizer: a gestão do Fundo deve operacionalizar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em dois momentos</w:t>
      </w:r>
      <w:r w:rsidR="000C068B">
        <w:rPr>
          <w:sz w:val="24"/>
        </w:rPr>
        <w:t xml:space="preserve"> </w:t>
      </w:r>
      <w:r w:rsidRPr="009F1E93">
        <w:rPr>
          <w:sz w:val="24"/>
        </w:rPr>
        <w:t>distintos: o primeiro, no qual o Conselho, através de seus membros, discute e</w:t>
      </w:r>
      <w:r w:rsidR="000C068B">
        <w:rPr>
          <w:sz w:val="24"/>
        </w:rPr>
        <w:t xml:space="preserve"> </w:t>
      </w:r>
      <w:r w:rsidRPr="009F1E93">
        <w:rPr>
          <w:sz w:val="24"/>
        </w:rPr>
        <w:t>delibera acerca da destinação dos recursos do Fundo, ou seja, define quais as</w:t>
      </w:r>
      <w:r w:rsidR="000C068B">
        <w:rPr>
          <w:sz w:val="24"/>
        </w:rPr>
        <w:t xml:space="preserve"> </w:t>
      </w:r>
      <w:r w:rsidRPr="009F1E93">
        <w:rPr>
          <w:sz w:val="24"/>
        </w:rPr>
        <w:t>prioridades a serem atendidas. No segundo momento, o Conselho vai definir qual o</w:t>
      </w:r>
      <w:r w:rsidR="000C068B">
        <w:rPr>
          <w:sz w:val="24"/>
        </w:rPr>
        <w:t xml:space="preserve"> </w:t>
      </w:r>
      <w:r w:rsidRPr="009F1E93">
        <w:rPr>
          <w:sz w:val="24"/>
        </w:rPr>
        <w:t>montante de recursos a ser destinado a cada prioridade anteriormente definida. A</w:t>
      </w:r>
      <w:r w:rsidR="000C068B">
        <w:rPr>
          <w:sz w:val="24"/>
        </w:rPr>
        <w:t xml:space="preserve"> </w:t>
      </w:r>
      <w:r w:rsidRPr="009F1E93">
        <w:rPr>
          <w:sz w:val="24"/>
        </w:rPr>
        <w:t>junção desses dois momentos vai constituir o Plano de Aplicação do Conselho,</w:t>
      </w:r>
      <w:r w:rsidR="000C068B">
        <w:rPr>
          <w:sz w:val="24"/>
        </w:rPr>
        <w:t xml:space="preserve"> </w:t>
      </w:r>
      <w:r w:rsidR="00061DD6">
        <w:rPr>
          <w:sz w:val="24"/>
        </w:rPr>
        <w:t xml:space="preserve">imprescindível </w:t>
      </w:r>
      <w:r w:rsidRPr="009F1E93">
        <w:rPr>
          <w:sz w:val="24"/>
        </w:rPr>
        <w:t>para que possa ocorrer a liberação dos recursos</w:t>
      </w:r>
      <w:r w:rsidR="000C068B">
        <w:rPr>
          <w:sz w:val="24"/>
        </w:rPr>
        <w:t xml:space="preserve"> </w:t>
      </w:r>
      <w:r w:rsidRPr="009F1E93">
        <w:rPr>
          <w:sz w:val="24"/>
        </w:rPr>
        <w:t>existentes no Fundo Municipal.</w:t>
      </w:r>
    </w:p>
    <w:p w:rsidR="00195D6B" w:rsidRDefault="00061DD6" w:rsidP="009F1E93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Desse modo andou bem o projeto ao não prever que </w:t>
      </w:r>
      <w:r w:rsidR="00195D6B" w:rsidRPr="00CD3AF3">
        <w:rPr>
          <w:sz w:val="24"/>
        </w:rPr>
        <w:t xml:space="preserve">a secretaria municipal tenha a gestão exclusiva dos recursos, sob pena de burlar a função do próprio fundo que deve ser intimamente ligado aos projetos do conselho, </w:t>
      </w:r>
      <w:r w:rsidR="00D3161A" w:rsidRPr="00CD3AF3">
        <w:rPr>
          <w:sz w:val="24"/>
        </w:rPr>
        <w:t xml:space="preserve">elaborados </w:t>
      </w:r>
      <w:r w:rsidR="00AB0859" w:rsidRPr="00CD3AF3">
        <w:rPr>
          <w:sz w:val="24"/>
        </w:rPr>
        <w:t>propriamente por ele ou aquiescendo a alguma proposta governamental, de modo a não se confundir o orçamento da secretaria com os recursos vinculados ao fundo.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Acerca da utilização dos recursos vinculados aos Fundos Especiais,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determina o parágrafo único do artigo 8º, da Lei de Responsabilidade Fiscal:</w:t>
      </w:r>
    </w:p>
    <w:p w:rsidR="00C84D65" w:rsidRPr="009F1E93" w:rsidRDefault="00C84D65" w:rsidP="009F1E93">
      <w:pPr>
        <w:pStyle w:val="Padro"/>
        <w:spacing w:line="360" w:lineRule="auto"/>
        <w:ind w:firstLine="2830"/>
        <w:jc w:val="both"/>
        <w:rPr>
          <w:sz w:val="24"/>
        </w:rPr>
      </w:pPr>
    </w:p>
    <w:p w:rsidR="009F1E93" w:rsidRPr="000C068B" w:rsidRDefault="009F1E93" w:rsidP="00C84D65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“Art. 8º. Até trinta dias após a publicação dos orçamentos, nos termos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em que dispuser a lei de diretrizes orçamentárias e observado o disposto na alínea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c do inciso I do art. 4º, o Poder Executivo estabelecerá a programação financeira 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o cronograma de execução mensal de desembolso.</w:t>
      </w:r>
    </w:p>
    <w:p w:rsidR="009F1E93" w:rsidRDefault="009F1E93" w:rsidP="00393FC7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Parágrafo único</w:t>
      </w:r>
      <w:r w:rsidR="000C068B" w:rsidRPr="000C068B">
        <w:rPr>
          <w:i/>
          <w:sz w:val="24"/>
        </w:rPr>
        <w:t>.</w:t>
      </w:r>
      <w:r w:rsidRPr="000C068B">
        <w:rPr>
          <w:i/>
          <w:sz w:val="24"/>
        </w:rPr>
        <w:t xml:space="preserve"> 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recursos legalmente vinculados a finalidade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específica serão utilizados exclusivamente para atender ao objeto de sua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vinculação, ainda que em exercício diverso daquele em que ocorrer o ingresso”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Ainda, as características básicas dos Fundos Especiais estão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definidas em recente doutrina:</w:t>
      </w:r>
    </w:p>
    <w:p w:rsidR="00AE47C2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1 – Conceituação de fundo especial: Na dinâmica da Administração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Pública, alguns programas de trabalho apresentam</w:t>
      </w:r>
      <w:r w:rsidR="000C068B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munidos de importância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vital e, por isso mesmo, necessitam de um fluxo contínuo de recursos financeiros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lhes garantam desenvolvimento integral e ininterrupto. Nesse sentido, 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Administração, através de lei, vincula, associa, ‘amarra’ determinadas receitas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públicas a atividades tidas como especiais. Enquanto que para outro setor 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atividade pública não importa a origem dos recursos que lhe financiam as ações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(impostos próprios, impostos transferidos, aluguel do patrimônio físico,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entre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outros), o fundo dispõe de receitas definidas, marcadas, carimbadas; </w:t>
      </w:r>
      <w:proofErr w:type="gramStart"/>
      <w:r w:rsidRPr="00393FC7">
        <w:rPr>
          <w:i/>
          <w:sz w:val="24"/>
        </w:rPr>
        <w:t>aconteça</w:t>
      </w:r>
      <w:proofErr w:type="gramEnd"/>
      <w:r w:rsidRPr="00393FC7">
        <w:rPr>
          <w:i/>
          <w:sz w:val="24"/>
        </w:rPr>
        <w:t xml:space="preserve"> 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acontecer, tais rendas ser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lhe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repassadas, sob pena de descumprimento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lei.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2 – Características básicas do fundo especial: De um modo geral, esses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fundos revestem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dos seguintes pressupostos:</w:t>
      </w:r>
      <w:r w:rsidR="00307ED3" w:rsidRPr="00393FC7">
        <w:rPr>
          <w:i/>
          <w:sz w:val="24"/>
        </w:rPr>
        <w:t xml:space="preserve"> i</w:t>
      </w:r>
      <w:r w:rsidRPr="00393FC7">
        <w:rPr>
          <w:i/>
          <w:sz w:val="24"/>
        </w:rPr>
        <w:t>nstituem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através de lei, que é sempre de iniciativa do Poder Executivo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(art. 167, IX, da </w:t>
      </w:r>
      <w:proofErr w:type="gramStart"/>
      <w:r w:rsidRPr="00393FC7">
        <w:rPr>
          <w:i/>
          <w:sz w:val="24"/>
        </w:rPr>
        <w:t>CF);</w:t>
      </w:r>
      <w:proofErr w:type="gramEnd"/>
      <w:r w:rsid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f</w:t>
      </w:r>
      <w:r w:rsidRPr="00393FC7">
        <w:rPr>
          <w:i/>
          <w:sz w:val="24"/>
        </w:rPr>
        <w:t>inanciam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mediante receitas </w:t>
      </w:r>
      <w:r w:rsidR="00AE47C2">
        <w:rPr>
          <w:i/>
          <w:sz w:val="24"/>
        </w:rPr>
        <w:lastRenderedPageBreak/>
        <w:t>especificadas na lei de criação,</w:t>
      </w:r>
      <w:r w:rsidRPr="00393FC7">
        <w:rPr>
          <w:i/>
          <w:sz w:val="24"/>
        </w:rPr>
        <w:t xml:space="preserve"> daí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autonomia financeira;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v</w:t>
      </w:r>
      <w:r w:rsidRPr="00393FC7">
        <w:rPr>
          <w:i/>
          <w:sz w:val="24"/>
        </w:rPr>
        <w:t>inculam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somente às atividades para cujo atendimento foram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criados;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d</w:t>
      </w:r>
      <w:r w:rsidRPr="00393FC7">
        <w:rPr>
          <w:i/>
          <w:sz w:val="24"/>
        </w:rPr>
        <w:t>ispõem</w:t>
      </w:r>
      <w:proofErr w:type="gramEnd"/>
      <w:r w:rsidRPr="00393FC7">
        <w:rPr>
          <w:i/>
          <w:sz w:val="24"/>
        </w:rPr>
        <w:t xml:space="preserve"> de orçamento próprio, denominado plano de aplicação;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t</w:t>
      </w:r>
      <w:r w:rsidRPr="00393FC7">
        <w:rPr>
          <w:i/>
          <w:sz w:val="24"/>
        </w:rPr>
        <w:t>ransferem</w:t>
      </w:r>
      <w:proofErr w:type="gramEnd"/>
      <w:r w:rsidRPr="00393FC7">
        <w:rPr>
          <w:i/>
          <w:sz w:val="24"/>
        </w:rPr>
        <w:t xml:space="preserve"> para o exercício seguinte eventual saldo positivo apurado em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movimentação financeira anual;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c</w:t>
      </w:r>
      <w:r w:rsidRPr="00393FC7">
        <w:rPr>
          <w:i/>
          <w:sz w:val="24"/>
        </w:rPr>
        <w:t>ontam</w:t>
      </w:r>
      <w:proofErr w:type="gramEnd"/>
      <w:r w:rsidRPr="00393FC7">
        <w:rPr>
          <w:i/>
          <w:sz w:val="24"/>
        </w:rPr>
        <w:t xml:space="preserve"> com normas especiais de controle e prestação de contas.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3 – Personalidade jurídica dos fundos especiais: O fundo especial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dispõe de personalidade jurídica. É parte da política de desconcentração promovida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no seio da Administração direta; </w:t>
      </w:r>
      <w:proofErr w:type="gramStart"/>
      <w:r w:rsidRPr="00393FC7">
        <w:rPr>
          <w:i/>
          <w:sz w:val="24"/>
        </w:rPr>
        <w:t>diferente</w:t>
      </w:r>
      <w:proofErr w:type="gramEnd"/>
      <w:r w:rsidRPr="00393FC7">
        <w:rPr>
          <w:i/>
          <w:sz w:val="24"/>
        </w:rPr>
        <w:t>, pois, da prática da descentralização,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em que o ente central transfere a execução dos serviços públicos a outra pessoa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jurídica (autarquias, fundações, empresas públicas etc.).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AE47C2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4 – Constituição or</w:t>
      </w:r>
      <w:r w:rsidR="00393FC7">
        <w:rPr>
          <w:i/>
          <w:sz w:val="24"/>
        </w:rPr>
        <w:t>çamentária dos fundos especiais</w:t>
      </w:r>
      <w:r w:rsidRPr="00393FC7">
        <w:rPr>
          <w:i/>
          <w:sz w:val="24"/>
        </w:rPr>
        <w:t>: Na peça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orçamentária, o fundo especial comparece sob a forma de uma atividade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funcional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programática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ou de uma unidade orçamentária, relacionadas, ambas, 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um órgão de primeiro escalão existente na estrutura da Administração Pública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Centralizada (Secretaria ou Departamento).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5 – Movimentação financeira dos fundos especiais: O fundo especial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materializa exceção ao princípio do caixa único de que fala o art. 56 da Lei nº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4.320. A entrega dos recursos a ele pertencentes acontece mediante simples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repasse de tesouraria. Conta bancária central para conta vinculada do fundo;</w:t>
      </w:r>
      <w:r w:rsidR="00307ED3" w:rsidRPr="00393FC7">
        <w:rPr>
          <w:i/>
          <w:sz w:val="24"/>
        </w:rPr>
        <w:t xml:space="preserve"> </w:t>
      </w:r>
      <w:proofErr w:type="gramStart"/>
      <w:r w:rsidRPr="00393FC7">
        <w:rPr>
          <w:i/>
          <w:sz w:val="24"/>
        </w:rPr>
        <w:t>portanto</w:t>
      </w:r>
      <w:proofErr w:type="gramEnd"/>
      <w:r w:rsidRPr="00393FC7">
        <w:rPr>
          <w:i/>
          <w:sz w:val="24"/>
        </w:rPr>
        <w:t xml:space="preserve">, simples movimento entre contas do ativo financeiro; </w:t>
      </w:r>
      <w:proofErr w:type="gramStart"/>
      <w:r w:rsidRPr="00393FC7">
        <w:rPr>
          <w:i/>
          <w:sz w:val="24"/>
        </w:rPr>
        <w:t>isto</w:t>
      </w:r>
      <w:proofErr w:type="gramEnd"/>
      <w:r w:rsidRPr="00393FC7">
        <w:rPr>
          <w:i/>
          <w:sz w:val="24"/>
        </w:rPr>
        <w:t>, claro, não é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despesa; </w:t>
      </w:r>
      <w:proofErr w:type="gramStart"/>
      <w:r w:rsidRPr="00393FC7">
        <w:rPr>
          <w:i/>
          <w:sz w:val="24"/>
        </w:rPr>
        <w:t>dispensa</w:t>
      </w:r>
      <w:proofErr w:type="gramEnd"/>
      <w:r w:rsidRPr="00393FC7">
        <w:rPr>
          <w:i/>
          <w:sz w:val="24"/>
        </w:rPr>
        <w:t xml:space="preserve"> emissão de empenho, que só se materializa quando o fundo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realiza, de fato, suas próprias despesas.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6 – Ordem cronológica dos pagamentos dos fundos especiais: Conforme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 art. 5º da Lei nº 8.666, o instituto da ordem cronológica de pagamentos tem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marco divisor a fonte diferenciada de recursos. Fonte de recursos tem a ver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 o destino do dinheiro público. Dessa forma, o fundo especial constitui fonte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diferenciada de recursos e, por isso, tem programação específica de desembolsos,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isto é, cronologia própria de pagamentos.</w:t>
      </w:r>
    </w:p>
    <w:p w:rsidR="002A3B67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7 – Processamento da despesa do fundo especial: A despesa desse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mecanismo financeiro realiza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qualquer outra despesa pública.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Integrante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da Administração Centralizada, não há por que o fundo dispor de estrutura própria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para processamento de seu dispêndio, exceto nos casos em que o alto volume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recursos justifique tal especialização. Nessa linha de raciocínio, o fundo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precisa de um setor de contabilidade, vez que toda a sua movimentação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 e patrimonial será incorporada à Contabilidade Geral do Município.</w:t>
      </w:r>
    </w:p>
    <w:p w:rsidR="002A3B67" w:rsidRDefault="002A3B67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EE6758" w:rsidRPr="00EE6758" w:rsidRDefault="009627A7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Conforme já explanado, o</w:t>
      </w:r>
      <w:r w:rsidR="00EE6758" w:rsidRPr="00EE6758">
        <w:rPr>
          <w:sz w:val="24"/>
        </w:rPr>
        <w:t xml:space="preserve"> Projeto de Lei é de iniciativa privativa do Chefe do Poder Executivo</w:t>
      </w:r>
      <w:r w:rsidR="001F1794">
        <w:rPr>
          <w:sz w:val="24"/>
        </w:rPr>
        <w:t>, nos termos do artigo 32, parágrafo único, inciso VIII da Lei Orgânica do Município</w:t>
      </w:r>
      <w:r w:rsidR="00C23E2C">
        <w:rPr>
          <w:sz w:val="24"/>
        </w:rPr>
        <w:t>.</w:t>
      </w:r>
    </w:p>
    <w:p w:rsid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  <w:r w:rsidRPr="00EE6758">
        <w:rPr>
          <w:sz w:val="24"/>
        </w:rPr>
        <w:t xml:space="preserve">Neste tópico cumpre informar que o Projeto de Lei trata de </w:t>
      </w:r>
      <w:r w:rsidR="00187C22">
        <w:rPr>
          <w:sz w:val="24"/>
        </w:rPr>
        <w:t xml:space="preserve">criação de </w:t>
      </w:r>
      <w:r w:rsidRPr="00EE6758">
        <w:rPr>
          <w:sz w:val="24"/>
        </w:rPr>
        <w:t xml:space="preserve">Conselho Municipal, órgão colegiado ligado à Administração Pública, que exerce parcela do Poder Público através de seus integrantes, desempenhando as suas funções de </w:t>
      </w:r>
      <w:r w:rsidR="001F1794">
        <w:rPr>
          <w:sz w:val="24"/>
        </w:rPr>
        <w:t xml:space="preserve">colaboradores na criação, implantação e </w:t>
      </w:r>
      <w:r w:rsidRPr="00EE6758">
        <w:rPr>
          <w:sz w:val="24"/>
        </w:rPr>
        <w:t xml:space="preserve">execução de políticas públicas, equiparando-se às funções de um servidor público municipal, que tem suas atribuições fixadas por norma de iniciativa privativa do Prefeito Municipal. 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lastRenderedPageBreak/>
        <w:t>Assim dispõe o artigo 19 da Lei Complementar 912/2011, que trata da reorganização administrativa do Poder Executivo: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Art. 19. Integram também a estrutura organizacional da Prefeitura Municipal de Botucatu na qualidade de órgão especiais: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>Comissão Permanente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II. Conselho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III. Comissão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IV. Comissões Especiais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V.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 xml:space="preserve"> Fundo Social de Solidariedade do Município de Botucatu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Parágrafo único. Os órgãos especiais estabelecidos neste artigo são estabelecidos e regulamentados por legislações próprias</w:t>
      </w:r>
    </w:p>
    <w:p w:rsidR="00EE6758" w:rsidRP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i/>
          <w:iCs/>
          <w:sz w:val="24"/>
        </w:rPr>
        <w:t>quorum</w:t>
      </w:r>
      <w:proofErr w:type="spellEnd"/>
      <w:r>
        <w:rPr>
          <w:sz w:val="24"/>
        </w:rPr>
        <w:t xml:space="preserve"> para deliberação pelo Plenário desta Casa de Leis é o de </w:t>
      </w:r>
      <w:r>
        <w:rPr>
          <w:b/>
          <w:bCs/>
          <w:sz w:val="24"/>
          <w:u w:val="single"/>
        </w:rPr>
        <w:t>maioria absoluta</w:t>
      </w:r>
      <w:r>
        <w:rPr>
          <w:sz w:val="24"/>
        </w:rPr>
        <w:t xml:space="preserve">, conforme estabelece o artigo 40, II, “i” do Regimento Interno </w:t>
      </w:r>
      <w:r w:rsidR="00C23E2C">
        <w:rPr>
          <w:sz w:val="24"/>
        </w:rPr>
        <w:t>da Câmara Municipal de Botucatu (RI).</w:t>
      </w:r>
      <w:r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2833"/>
        <w:jc w:val="both"/>
        <w:rPr>
          <w:sz w:val="24"/>
        </w:rPr>
      </w:pPr>
      <w:r>
        <w:rPr>
          <w:sz w:val="24"/>
        </w:rPr>
        <w:t xml:space="preserve">Assim, o Projeto de Lei, para ser aprovado, deverá contar com votos favoráveis de </w:t>
      </w:r>
      <w:r w:rsidRPr="00F80174">
        <w:rPr>
          <w:sz w:val="24"/>
          <w:u w:val="single"/>
        </w:rPr>
        <w:t>mais da metade dos membros da Câmara Municipal de Botucatu</w:t>
      </w:r>
      <w:r w:rsidR="00C23E2C">
        <w:rPr>
          <w:sz w:val="24"/>
        </w:rPr>
        <w:t xml:space="preserve"> (artigo 39, §</w:t>
      </w:r>
      <w:r>
        <w:rPr>
          <w:sz w:val="24"/>
        </w:rPr>
        <w:t xml:space="preserve"> 2º do RI).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F14882">
        <w:rPr>
          <w:sz w:val="24"/>
          <w:szCs w:val="24"/>
        </w:rPr>
        <w:t xml:space="preserve"> (CCJ), bem como à </w:t>
      </w:r>
      <w:r w:rsidR="00F14882" w:rsidRPr="00497B03">
        <w:rPr>
          <w:sz w:val="24"/>
          <w:szCs w:val="24"/>
          <w:u w:val="single"/>
        </w:rPr>
        <w:t>Comissão de Saúde</w:t>
      </w:r>
      <w:r w:rsidR="00497B03" w:rsidRPr="00497B03">
        <w:rPr>
          <w:sz w:val="24"/>
          <w:szCs w:val="24"/>
          <w:u w:val="single"/>
        </w:rPr>
        <w:t xml:space="preserve"> e Lazer</w:t>
      </w:r>
      <w:r>
        <w:rPr>
          <w:sz w:val="24"/>
          <w:szCs w:val="24"/>
        </w:rPr>
        <w:t>.</w:t>
      </w:r>
    </w:p>
    <w:p w:rsidR="00264A49" w:rsidRDefault="00264A49" w:rsidP="00264A49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Portanto,</w:t>
      </w:r>
      <w:r w:rsidRPr="001B3019">
        <w:rPr>
          <w:sz w:val="24"/>
        </w:rPr>
        <w:t xml:space="preserve"> </w:t>
      </w:r>
      <w:r>
        <w:rPr>
          <w:sz w:val="24"/>
        </w:rPr>
        <w:t xml:space="preserve">o </w:t>
      </w:r>
      <w:r w:rsidRPr="001B3019">
        <w:rPr>
          <w:sz w:val="24"/>
        </w:rPr>
        <w:t>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210902" w:rsidRDefault="001B3019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Ess</w:t>
      </w:r>
      <w:r w:rsidR="00210902" w:rsidRPr="009D4210">
        <w:rPr>
          <w:sz w:val="24"/>
          <w:szCs w:val="24"/>
        </w:rPr>
        <w:t>e é o parecer, s</w:t>
      </w:r>
      <w:r w:rsidR="00210902">
        <w:rPr>
          <w:sz w:val="24"/>
          <w:szCs w:val="24"/>
        </w:rPr>
        <w:t>alvo melhor juízo.</w:t>
      </w:r>
    </w:p>
    <w:p w:rsidR="00FE7B6E" w:rsidRDefault="00FE7B6E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497B03">
        <w:rPr>
          <w:sz w:val="24"/>
          <w:szCs w:val="24"/>
        </w:rPr>
        <w:t>14</w:t>
      </w:r>
      <w:r w:rsidR="00F14882">
        <w:rPr>
          <w:sz w:val="24"/>
          <w:szCs w:val="24"/>
        </w:rPr>
        <w:t xml:space="preserve"> de outubro</w:t>
      </w:r>
      <w:r w:rsidR="00C426CB">
        <w:rPr>
          <w:sz w:val="24"/>
          <w:szCs w:val="24"/>
        </w:rPr>
        <w:t xml:space="preserve"> de 20</w:t>
      </w:r>
      <w:r w:rsidR="00F14882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:rsidR="00FE7B6E" w:rsidRDefault="00FE7B6E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Pr="009D4210" w:rsidRDefault="00210902" w:rsidP="00497B03">
      <w:pPr>
        <w:ind w:firstLine="28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210902" w:rsidRPr="009D4210" w:rsidRDefault="00210902" w:rsidP="00497B03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210902" w:rsidRDefault="00210902" w:rsidP="00497B03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sectPr w:rsidR="00210902" w:rsidSect="001B3019">
      <w:headerReference w:type="default" r:id="rId8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D8" w:rsidRDefault="00EA0729">
      <w:r>
        <w:separator/>
      </w:r>
    </w:p>
  </w:endnote>
  <w:endnote w:type="continuationSeparator" w:id="0">
    <w:p w:rsidR="00AE40D8" w:rsidRDefault="00E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D8" w:rsidRDefault="00EA0729">
      <w:r>
        <w:separator/>
      </w:r>
    </w:p>
  </w:footnote>
  <w:footnote w:type="continuationSeparator" w:id="0">
    <w:p w:rsidR="00AE40D8" w:rsidRDefault="00EA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05A9C">
    <w:pPr>
      <w:jc w:val="center"/>
      <w:rPr>
        <w:b/>
        <w:sz w:val="28"/>
      </w:rPr>
    </w:pPr>
  </w:p>
  <w:p w:rsidR="000457B6" w:rsidRDefault="00005A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D46"/>
    <w:multiLevelType w:val="hybridMultilevel"/>
    <w:tmpl w:val="BA40C2D6"/>
    <w:lvl w:ilvl="0" w:tplc="06649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34E"/>
    <w:multiLevelType w:val="hybridMultilevel"/>
    <w:tmpl w:val="8CD2E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2"/>
    <w:rsid w:val="00005A9C"/>
    <w:rsid w:val="00016323"/>
    <w:rsid w:val="00023DF4"/>
    <w:rsid w:val="0004618F"/>
    <w:rsid w:val="00061DD6"/>
    <w:rsid w:val="000664B7"/>
    <w:rsid w:val="000A6C78"/>
    <w:rsid w:val="000A78EB"/>
    <w:rsid w:val="000C068B"/>
    <w:rsid w:val="000D7C4E"/>
    <w:rsid w:val="000E02EC"/>
    <w:rsid w:val="0013160B"/>
    <w:rsid w:val="00187C22"/>
    <w:rsid w:val="00190B8D"/>
    <w:rsid w:val="00195D6B"/>
    <w:rsid w:val="001B3019"/>
    <w:rsid w:val="001D308B"/>
    <w:rsid w:val="001F1794"/>
    <w:rsid w:val="001F48CB"/>
    <w:rsid w:val="00210902"/>
    <w:rsid w:val="00211486"/>
    <w:rsid w:val="00264A49"/>
    <w:rsid w:val="002A022E"/>
    <w:rsid w:val="002A3B67"/>
    <w:rsid w:val="002A730E"/>
    <w:rsid w:val="002A7F00"/>
    <w:rsid w:val="002B7FBF"/>
    <w:rsid w:val="00307ED3"/>
    <w:rsid w:val="00315897"/>
    <w:rsid w:val="00335F96"/>
    <w:rsid w:val="003654B4"/>
    <w:rsid w:val="00393FC7"/>
    <w:rsid w:val="004123CE"/>
    <w:rsid w:val="00450B45"/>
    <w:rsid w:val="00461DAE"/>
    <w:rsid w:val="00465BF2"/>
    <w:rsid w:val="0048102D"/>
    <w:rsid w:val="004962E3"/>
    <w:rsid w:val="00497B03"/>
    <w:rsid w:val="004D38CD"/>
    <w:rsid w:val="004F189B"/>
    <w:rsid w:val="00500D2D"/>
    <w:rsid w:val="00504EDA"/>
    <w:rsid w:val="00540C96"/>
    <w:rsid w:val="0055024D"/>
    <w:rsid w:val="00560154"/>
    <w:rsid w:val="005A1626"/>
    <w:rsid w:val="005E14BC"/>
    <w:rsid w:val="00616719"/>
    <w:rsid w:val="0064569A"/>
    <w:rsid w:val="00663270"/>
    <w:rsid w:val="006638AE"/>
    <w:rsid w:val="006665FA"/>
    <w:rsid w:val="006811E3"/>
    <w:rsid w:val="006C27AB"/>
    <w:rsid w:val="006D6BED"/>
    <w:rsid w:val="006F6FB3"/>
    <w:rsid w:val="007076C4"/>
    <w:rsid w:val="00724991"/>
    <w:rsid w:val="00761F70"/>
    <w:rsid w:val="007A465B"/>
    <w:rsid w:val="007C20C6"/>
    <w:rsid w:val="007D0240"/>
    <w:rsid w:val="007E5FEC"/>
    <w:rsid w:val="007F17B0"/>
    <w:rsid w:val="008025FD"/>
    <w:rsid w:val="008137B8"/>
    <w:rsid w:val="00835169"/>
    <w:rsid w:val="00854754"/>
    <w:rsid w:val="008711EF"/>
    <w:rsid w:val="008D21A4"/>
    <w:rsid w:val="0092578F"/>
    <w:rsid w:val="009627A7"/>
    <w:rsid w:val="009876FD"/>
    <w:rsid w:val="009B3635"/>
    <w:rsid w:val="009B4A5A"/>
    <w:rsid w:val="009D1892"/>
    <w:rsid w:val="009F1E93"/>
    <w:rsid w:val="00A36292"/>
    <w:rsid w:val="00A76BEC"/>
    <w:rsid w:val="00A80101"/>
    <w:rsid w:val="00AB02AA"/>
    <w:rsid w:val="00AB0859"/>
    <w:rsid w:val="00AB3144"/>
    <w:rsid w:val="00AB6F79"/>
    <w:rsid w:val="00AE40D8"/>
    <w:rsid w:val="00AE47C2"/>
    <w:rsid w:val="00AF2308"/>
    <w:rsid w:val="00B66188"/>
    <w:rsid w:val="00B75010"/>
    <w:rsid w:val="00B910E4"/>
    <w:rsid w:val="00BD6802"/>
    <w:rsid w:val="00C07527"/>
    <w:rsid w:val="00C1230B"/>
    <w:rsid w:val="00C23767"/>
    <w:rsid w:val="00C23E2C"/>
    <w:rsid w:val="00C35A2E"/>
    <w:rsid w:val="00C426CB"/>
    <w:rsid w:val="00C4318A"/>
    <w:rsid w:val="00C67FF6"/>
    <w:rsid w:val="00C84D65"/>
    <w:rsid w:val="00CD3AF3"/>
    <w:rsid w:val="00D3161A"/>
    <w:rsid w:val="00D60747"/>
    <w:rsid w:val="00D657C4"/>
    <w:rsid w:val="00D85D82"/>
    <w:rsid w:val="00D945C8"/>
    <w:rsid w:val="00DA648A"/>
    <w:rsid w:val="00DD55FD"/>
    <w:rsid w:val="00DE361C"/>
    <w:rsid w:val="00E2664A"/>
    <w:rsid w:val="00E3060F"/>
    <w:rsid w:val="00E8112A"/>
    <w:rsid w:val="00E8165B"/>
    <w:rsid w:val="00E82B4A"/>
    <w:rsid w:val="00E94AC5"/>
    <w:rsid w:val="00E975C7"/>
    <w:rsid w:val="00EA0729"/>
    <w:rsid w:val="00EA113D"/>
    <w:rsid w:val="00EC4A8B"/>
    <w:rsid w:val="00EE11DC"/>
    <w:rsid w:val="00EE475A"/>
    <w:rsid w:val="00EE6758"/>
    <w:rsid w:val="00EF6927"/>
    <w:rsid w:val="00F14882"/>
    <w:rsid w:val="00F22DD9"/>
    <w:rsid w:val="00F847FD"/>
    <w:rsid w:val="00F849DB"/>
    <w:rsid w:val="00FC13F6"/>
    <w:rsid w:val="00FE6DB5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3FC-184D-4EB4-8BFB-F647E9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109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0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1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0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05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7884216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0975-C2F8-477C-9303-3C7D2634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3152</Words>
  <Characters>17024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2021-10-14T14:58:00Z</cp:lastPrinted>
  <dcterms:created xsi:type="dcterms:W3CDTF">2021-10-14T15:02:00Z</dcterms:created>
  <dcterms:modified xsi:type="dcterms:W3CDTF">2021-10-14T15:02:00Z</dcterms:modified>
</cp:coreProperties>
</file>