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0E" w:rsidRDefault="0056730E" w:rsidP="0056730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ORÇAMENTO, FINANÇAS E CONTABILIDADE</w:t>
      </w:r>
    </w:p>
    <w:p w:rsidR="0056730E" w:rsidRDefault="0056730E" w:rsidP="0056730E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56730E" w:rsidRDefault="0056730E" w:rsidP="0056730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9696F" w:rsidRDefault="00B9696F" w:rsidP="0056730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6730E" w:rsidRDefault="0056730E" w:rsidP="0056730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12/2021</w:t>
      </w:r>
    </w:p>
    <w:p w:rsidR="0056730E" w:rsidRDefault="0056730E" w:rsidP="0056730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Dispõe sobre alteração da Lei Complementar nº. 1.278/2020.</w:t>
      </w:r>
    </w:p>
    <w:p w:rsidR="0056730E" w:rsidRDefault="0056730E" w:rsidP="0056730E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56730E" w:rsidRDefault="0056730E" w:rsidP="00567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6730E" w:rsidRDefault="0056730E" w:rsidP="00B9696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>
        <w:rPr>
          <w:rFonts w:ascii="Arial" w:hAnsi="Arial" w:cs="Arial"/>
          <w:bCs/>
          <w:sz w:val="24"/>
          <w:szCs w:val="24"/>
        </w:rPr>
        <w:t>R$</w:t>
      </w:r>
      <w:r w:rsidRPr="00A12D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R$2.905.000,00</w:t>
      </w:r>
      <w:r>
        <w:rPr>
          <w:rFonts w:ascii="Arial" w:hAnsi="Arial" w:cs="Arial"/>
          <w:sz w:val="24"/>
          <w:szCs w:val="24"/>
        </w:rPr>
        <w:t>.</w:t>
      </w:r>
    </w:p>
    <w:p w:rsidR="0056730E" w:rsidRDefault="0056730E" w:rsidP="00B9696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se verifica da exposição dos motivos que acompanha o projeto, o Secretário Adjunto de Assuntos da Fazenda assim se manifesta: “</w:t>
      </w:r>
      <w:r w:rsidRPr="006C748C">
        <w:rPr>
          <w:rFonts w:ascii="Arial" w:hAnsi="Arial" w:cs="Arial"/>
          <w:i/>
          <w:sz w:val="24"/>
          <w:szCs w:val="24"/>
        </w:rPr>
        <w:t>trata-se de alterações dentro das estruturas das Secretarias de Saúde, Assistência Social, Governo e Gabinete do Prefeito, através da anulação de fichas constantes do orçamento de</w:t>
      </w:r>
      <w:r w:rsidR="002F77FD">
        <w:rPr>
          <w:rFonts w:ascii="Arial" w:hAnsi="Arial" w:cs="Arial"/>
          <w:i/>
          <w:sz w:val="24"/>
          <w:szCs w:val="24"/>
        </w:rPr>
        <w:t xml:space="preserve"> </w:t>
      </w:r>
      <w:r w:rsidRPr="006C748C">
        <w:rPr>
          <w:rFonts w:ascii="Arial" w:hAnsi="Arial" w:cs="Arial"/>
          <w:i/>
          <w:sz w:val="24"/>
          <w:szCs w:val="24"/>
        </w:rPr>
        <w:t>2021, visando dar suporte orçamentário às demandas das Secretarias de Saúde: contrato de gestão (R$2.100.000,00), Assistência Social: aluguel do prédio da Assistência (R$10.000,00), Governo: desapropriação de imóvel para readequação da Câmara Municipal (R$600.000,00) e Gabinete: demandas de gabinete/insumos (R$195.000,00).</w:t>
      </w:r>
      <w:r>
        <w:rPr>
          <w:rFonts w:ascii="Arial" w:hAnsi="Arial" w:cs="Arial"/>
          <w:sz w:val="24"/>
          <w:szCs w:val="24"/>
        </w:rPr>
        <w:t>”</w:t>
      </w:r>
    </w:p>
    <w:p w:rsidR="0056730E" w:rsidRDefault="0056730E" w:rsidP="00B9696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trâmite, a propositura foi examinada pela Procuradoria Jurídica que emitiu parecer favorável por não conter vícios constitucionais e regimentais. Ao que compete à comissão de orçamento, finanças e contabilidade vale apurar que será dada a tratativa ao superávit apurado pelo Poder Executivo e sua respectiva aplicação dentro das fichas indicadas para as demandas demonstradas pelas Secretarias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listadas. </w:t>
      </w:r>
    </w:p>
    <w:p w:rsidR="0056730E" w:rsidRDefault="00E36BEC" w:rsidP="00E36BE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36BE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isando </w:t>
      </w:r>
      <w:r w:rsidRPr="00E36BEC">
        <w:rPr>
          <w:rFonts w:ascii="Arial" w:hAnsi="Arial" w:cs="Arial"/>
          <w:sz w:val="24"/>
          <w:szCs w:val="24"/>
        </w:rPr>
        <w:t>aproximar cada vez mais o que consta do orçamento com as necessid</w:t>
      </w:r>
      <w:r>
        <w:rPr>
          <w:rFonts w:ascii="Arial" w:hAnsi="Arial" w:cs="Arial"/>
          <w:sz w:val="24"/>
          <w:szCs w:val="24"/>
        </w:rPr>
        <w:t>ades das secretarias, tornando cada vez mais transparente o q</w:t>
      </w:r>
      <w:r w:rsidRPr="00E36BEC">
        <w:rPr>
          <w:rFonts w:ascii="Arial" w:hAnsi="Arial" w:cs="Arial"/>
          <w:sz w:val="24"/>
          <w:szCs w:val="24"/>
        </w:rPr>
        <w:t>ue se pretende fazer com os recursos</w:t>
      </w:r>
      <w:r>
        <w:rPr>
          <w:rFonts w:ascii="Arial" w:hAnsi="Arial" w:cs="Arial"/>
          <w:sz w:val="24"/>
          <w:szCs w:val="24"/>
        </w:rPr>
        <w:t>, c</w:t>
      </w:r>
      <w:r w:rsidR="00B9696F" w:rsidRPr="00B9696F">
        <w:rPr>
          <w:rFonts w:ascii="Arial" w:hAnsi="Arial" w:cs="Arial"/>
          <w:sz w:val="24"/>
          <w:szCs w:val="24"/>
        </w:rPr>
        <w:t>abe-nos</w:t>
      </w:r>
      <w:r w:rsidR="0056730E" w:rsidRPr="00B9696F">
        <w:rPr>
          <w:rFonts w:ascii="Arial" w:hAnsi="Arial" w:cs="Arial"/>
          <w:sz w:val="24"/>
          <w:szCs w:val="24"/>
        </w:rPr>
        <w:t xml:space="preserve"> </w:t>
      </w:r>
      <w:r w:rsidR="0056730E">
        <w:rPr>
          <w:rFonts w:ascii="Arial" w:hAnsi="Arial" w:cs="Arial"/>
          <w:sz w:val="24"/>
          <w:szCs w:val="24"/>
        </w:rPr>
        <w:t>nesta oportunidade, optar pelo prosseguimento do projeto, reservando nosso direito de manifestação em Plenário, quando este constar da pauta de discussões.</w:t>
      </w:r>
    </w:p>
    <w:p w:rsidR="0056730E" w:rsidRDefault="0056730E" w:rsidP="0056730E">
      <w:pPr>
        <w:jc w:val="both"/>
        <w:rPr>
          <w:rFonts w:ascii="Arial" w:hAnsi="Arial" w:cs="Arial"/>
        </w:rPr>
      </w:pPr>
    </w:p>
    <w:p w:rsidR="0056730E" w:rsidRDefault="0056730E" w:rsidP="0056730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17 de dezembro de 2021.</w:t>
      </w:r>
    </w:p>
    <w:p w:rsidR="0056730E" w:rsidRDefault="0056730E" w:rsidP="0056730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6730E" w:rsidRDefault="0056730E" w:rsidP="0056730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:rsidR="0056730E" w:rsidRDefault="0056730E" w:rsidP="0056730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:rsidR="0056730E" w:rsidRDefault="0056730E" w:rsidP="0056730E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:rsidR="0056730E" w:rsidRDefault="0056730E" w:rsidP="005673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6730E" w:rsidRDefault="0056730E" w:rsidP="0056730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56730E" w:rsidRDefault="0056730E" w:rsidP="0056730E">
      <w:pPr>
        <w:rPr>
          <w:rFonts w:ascii="Arial" w:hAnsi="Arial" w:cs="Arial"/>
          <w:b/>
          <w:sz w:val="24"/>
          <w:szCs w:val="24"/>
        </w:rPr>
      </w:pPr>
    </w:p>
    <w:p w:rsidR="0056730E" w:rsidRDefault="0056730E" w:rsidP="0056730E">
      <w:pPr>
        <w:rPr>
          <w:rFonts w:ascii="Arial" w:hAnsi="Arial" w:cs="Arial"/>
          <w:b/>
          <w:sz w:val="24"/>
          <w:szCs w:val="24"/>
        </w:rPr>
      </w:pPr>
    </w:p>
    <w:p w:rsidR="0056730E" w:rsidRDefault="0056730E" w:rsidP="0056730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3"/>
      </w:tblGrid>
      <w:tr w:rsidR="0056730E" w:rsidTr="0056730E">
        <w:tc>
          <w:tcPr>
            <w:tcW w:w="4558" w:type="dxa"/>
            <w:hideMark/>
          </w:tcPr>
          <w:p w:rsidR="0056730E" w:rsidRDefault="0056730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SILVIO</w:t>
            </w:r>
          </w:p>
          <w:p w:rsidR="0056730E" w:rsidRDefault="0056730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56730E" w:rsidRDefault="0056730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MARCELO SLEIMAN</w:t>
            </w:r>
          </w:p>
          <w:p w:rsidR="0056730E" w:rsidRDefault="0056730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56730E" w:rsidRDefault="0056730E" w:rsidP="0056730E"/>
    <w:p w:rsidR="0056730E" w:rsidRDefault="0056730E" w:rsidP="0056730E"/>
    <w:p w:rsidR="0056730E" w:rsidRDefault="0056730E" w:rsidP="0056730E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0E"/>
    <w:rsid w:val="002F77FD"/>
    <w:rsid w:val="0056730E"/>
    <w:rsid w:val="00844247"/>
    <w:rsid w:val="00B9696F"/>
    <w:rsid w:val="00E3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24CA-7916-4D11-96D1-548415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4</cp:revision>
  <dcterms:created xsi:type="dcterms:W3CDTF">2021-12-17T14:03:00Z</dcterms:created>
  <dcterms:modified xsi:type="dcterms:W3CDTF">2021-12-17T14:33:00Z</dcterms:modified>
</cp:coreProperties>
</file>