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8374C">
        <w:rPr>
          <w:rFonts w:ascii="Arial" w:hAnsi="Arial" w:cs="Arial"/>
          <w:sz w:val="24"/>
          <w:szCs w:val="24"/>
        </w:rPr>
        <w:t>Proposta de Emenda à Lei Orgânica do Município nº 01/2024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8374C" w:rsidRPr="0008374C">
        <w:rPr>
          <w:rFonts w:ascii="Arial" w:hAnsi="Arial" w:cs="Arial"/>
          <w:bCs/>
          <w:sz w:val="24"/>
          <w:szCs w:val="24"/>
        </w:rPr>
        <w:t>Altera dispositivos da Lei Orgânica do Município de Botucatu.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08374C">
        <w:rPr>
          <w:rFonts w:ascii="Arial" w:hAnsi="Arial" w:cs="Arial"/>
          <w:bCs/>
          <w:sz w:val="24"/>
          <w:szCs w:val="24"/>
        </w:rPr>
        <w:t xml:space="preserve"> Mesa Diretora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08374C" w:rsidRDefault="000837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8374C" w:rsidRPr="0008374C" w:rsidRDefault="0008374C" w:rsidP="0008374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Orgânica do Município de Botucatu (</w:t>
      </w:r>
      <w:r w:rsidRPr="0008374C">
        <w:rPr>
          <w:rFonts w:ascii="Arial" w:hAnsi="Arial" w:cs="Arial"/>
          <w:sz w:val="24"/>
          <w:szCs w:val="24"/>
        </w:rPr>
        <w:t>LOMB</w:t>
      </w:r>
      <w:r>
        <w:rPr>
          <w:rFonts w:ascii="Arial" w:hAnsi="Arial" w:cs="Arial"/>
          <w:sz w:val="24"/>
          <w:szCs w:val="24"/>
        </w:rPr>
        <w:t>) é</w:t>
      </w:r>
      <w:r w:rsidRPr="0008374C">
        <w:rPr>
          <w:rFonts w:ascii="Arial" w:hAnsi="Arial" w:cs="Arial"/>
          <w:sz w:val="24"/>
          <w:szCs w:val="24"/>
        </w:rPr>
        <w:t xml:space="preserve"> um instrumento fundamental para nortear também o rito dentro da Câmara, no que se refere à atuação parlamentar, com o passar do tempo ela necessita ser atualizada. </w:t>
      </w:r>
    </w:p>
    <w:p w:rsidR="0008374C" w:rsidRPr="0008374C" w:rsidRDefault="0008374C" w:rsidP="0008374C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8374C" w:rsidRPr="0008374C" w:rsidRDefault="0008374C" w:rsidP="0008374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da justificativa que, a</w:t>
      </w:r>
      <w:r w:rsidRPr="0008374C">
        <w:rPr>
          <w:rFonts w:ascii="Arial" w:hAnsi="Arial" w:cs="Arial"/>
          <w:sz w:val="24"/>
          <w:szCs w:val="24"/>
        </w:rPr>
        <w:t xml:space="preserve"> alteração do Inciso XII do Artigo </w:t>
      </w:r>
      <w:proofErr w:type="gramStart"/>
      <w:r>
        <w:rPr>
          <w:rFonts w:ascii="Arial" w:hAnsi="Arial" w:cs="Arial"/>
          <w:sz w:val="24"/>
          <w:szCs w:val="24"/>
        </w:rPr>
        <w:t>14 visa</w:t>
      </w:r>
      <w:proofErr w:type="gramEnd"/>
      <w:r w:rsidRPr="0008374C">
        <w:rPr>
          <w:rFonts w:ascii="Arial" w:hAnsi="Arial" w:cs="Arial"/>
          <w:sz w:val="24"/>
          <w:szCs w:val="24"/>
        </w:rPr>
        <w:t xml:space="preserve"> retirar do Legislativo uma competência caracterizada como ato de gestão, ou seja, uma atividade administrativa de competência exclusiva do Poder Executivo, conforme entendimento consolidado do Supremo Tribunal Fe</w:t>
      </w:r>
      <w:r>
        <w:rPr>
          <w:rFonts w:ascii="Arial" w:hAnsi="Arial" w:cs="Arial"/>
          <w:sz w:val="24"/>
          <w:szCs w:val="24"/>
        </w:rPr>
        <w:t>deral (STF).</w:t>
      </w:r>
    </w:p>
    <w:p w:rsidR="00EB28C8" w:rsidRDefault="0008374C" w:rsidP="0008374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8374C">
        <w:rPr>
          <w:rFonts w:ascii="Arial" w:hAnsi="Arial" w:cs="Arial"/>
          <w:sz w:val="24"/>
          <w:szCs w:val="24"/>
        </w:rPr>
        <w:t>As alterações que dizem respeito a fixação dos subsídios dos vereadores por meio de resolução é uma determinação do Tribunal de Contas do Estado de São Paulo (TCE-SP) fundamentando-se na mudança de jurisprudência ocorrida nos últimos anos.</w:t>
      </w:r>
    </w:p>
    <w:p w:rsidR="000B77F2" w:rsidRDefault="000B77F2" w:rsidP="0008374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9927FB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9927FB">
        <w:rPr>
          <w:rFonts w:ascii="Arial" w:hAnsi="Arial" w:cs="Arial"/>
          <w:sz w:val="24"/>
          <w:szCs w:val="24"/>
        </w:rPr>
        <w:t>Ezidoro</w:t>
      </w:r>
      <w:proofErr w:type="spellEnd"/>
      <w:r w:rsidR="009927FB">
        <w:rPr>
          <w:rFonts w:ascii="Arial" w:hAnsi="Arial" w:cs="Arial"/>
          <w:sz w:val="24"/>
          <w:szCs w:val="24"/>
        </w:rPr>
        <w:t xml:space="preserve"> Jaqueta”, 28</w:t>
      </w:r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1A" w:rsidRDefault="008F4B1A" w:rsidP="00B201BF">
      <w:r>
        <w:separator/>
      </w:r>
    </w:p>
  </w:endnote>
  <w:endnote w:type="continuationSeparator" w:id="0">
    <w:p w:rsidR="008F4B1A" w:rsidRDefault="008F4B1A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8F4B1A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1A" w:rsidRDefault="008F4B1A" w:rsidP="00B201BF">
      <w:r>
        <w:separator/>
      </w:r>
    </w:p>
  </w:footnote>
  <w:footnote w:type="continuationSeparator" w:id="0">
    <w:p w:rsidR="008F4B1A" w:rsidRDefault="008F4B1A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8374C"/>
    <w:rsid w:val="000A3103"/>
    <w:rsid w:val="000B77F2"/>
    <w:rsid w:val="00312CEB"/>
    <w:rsid w:val="00335884"/>
    <w:rsid w:val="00547115"/>
    <w:rsid w:val="00575607"/>
    <w:rsid w:val="00690486"/>
    <w:rsid w:val="00844247"/>
    <w:rsid w:val="0086494C"/>
    <w:rsid w:val="008F4B1A"/>
    <w:rsid w:val="009927FB"/>
    <w:rsid w:val="009A4049"/>
    <w:rsid w:val="00B201B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6</cp:revision>
  <dcterms:created xsi:type="dcterms:W3CDTF">2024-11-26T17:21:00Z</dcterms:created>
  <dcterms:modified xsi:type="dcterms:W3CDTF">2024-11-28T11:44:00Z</dcterms:modified>
</cp:coreProperties>
</file>